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4378A" w14:textId="3ADA3740" w:rsidR="0089470E" w:rsidRPr="007E0674" w:rsidRDefault="0089470E" w:rsidP="007E0674">
      <w:pPr>
        <w:spacing w:before="100" w:beforeAutospacing="1" w:after="100" w:afterAutospacing="1"/>
        <w:jc w:val="center"/>
        <w:rPr>
          <w:rFonts w:ascii="Proxima Nova" w:eastAsia="Times New Roman" w:hAnsi="Proxima Nova" w:cs="Times New Roman"/>
          <w:b/>
          <w:bCs/>
          <w:sz w:val="40"/>
          <w:szCs w:val="40"/>
          <w:lang w:eastAsia="en-GB"/>
        </w:rPr>
      </w:pPr>
      <w:r w:rsidRPr="007E0674">
        <w:rPr>
          <w:rFonts w:ascii="Proxima Nova" w:eastAsia="Times New Roman" w:hAnsi="Proxima Nova" w:cs="Times New Roman"/>
          <w:b/>
          <w:bCs/>
          <w:sz w:val="40"/>
          <w:szCs w:val="40"/>
          <w:lang w:eastAsia="en-GB"/>
        </w:rPr>
        <w:t>ILG Non-Compliance</w:t>
      </w:r>
    </w:p>
    <w:p w14:paraId="343CBD02" w14:textId="60866EC9" w:rsidR="00EC17C2" w:rsidRPr="007E0674" w:rsidRDefault="00EC17C2" w:rsidP="00EC17C2">
      <w:pPr>
        <w:spacing w:before="100" w:beforeAutospacing="1" w:after="100" w:afterAutospacing="1"/>
        <w:rPr>
          <w:rFonts w:ascii="Proxima Nova" w:eastAsia="Times New Roman" w:hAnsi="Proxima Nova" w:cs="Times New Roman"/>
          <w:lang w:eastAsia="en-GB"/>
        </w:rPr>
      </w:pPr>
      <w:r w:rsidRPr="007E0674">
        <w:rPr>
          <w:rFonts w:ascii="Proxima Nova" w:eastAsia="Times New Roman" w:hAnsi="Proxima Nova" w:cs="Times New Roman"/>
          <w:lang w:eastAsia="en-GB"/>
        </w:rPr>
        <w:t>This schedule outlines the additional handling and administration charges that may apply where deliveries do not meet ILG’s delivery, booking, packaging, labelling, or documentation standards.</w:t>
      </w:r>
    </w:p>
    <w:p w14:paraId="192BCC6C" w14:textId="77777777" w:rsidR="00EC17C2" w:rsidRPr="007E0674" w:rsidRDefault="00EC17C2" w:rsidP="00EC17C2">
      <w:pPr>
        <w:spacing w:before="100" w:beforeAutospacing="1" w:after="100" w:afterAutospacing="1"/>
        <w:rPr>
          <w:rFonts w:ascii="Proxima Nova" w:eastAsia="Times New Roman" w:hAnsi="Proxima Nova" w:cs="Times New Roman"/>
          <w:lang w:eastAsia="en-GB"/>
        </w:rPr>
      </w:pPr>
      <w:r w:rsidRPr="007E0674">
        <w:rPr>
          <w:rFonts w:ascii="Proxima Nova" w:eastAsia="Times New Roman" w:hAnsi="Proxima Nova" w:cs="Times New Roman"/>
          <w:lang w:eastAsia="en-GB"/>
        </w:rPr>
        <w:t>These charges are separate from standard storage, handling, and fulfilment service charges.</w:t>
      </w:r>
    </w:p>
    <w:p w14:paraId="404E04C8" w14:textId="77777777" w:rsidR="00EC17C2" w:rsidRPr="007E0674" w:rsidRDefault="00EC17C2" w:rsidP="00EC17C2">
      <w:pPr>
        <w:spacing w:before="100" w:beforeAutospacing="1" w:after="100" w:afterAutospacing="1"/>
        <w:rPr>
          <w:rFonts w:ascii="Proxima Nova" w:eastAsia="Times New Roman" w:hAnsi="Proxima Nova" w:cs="Times New Roman"/>
          <w:lang w:eastAsia="en-GB"/>
        </w:rPr>
      </w:pPr>
      <w:r w:rsidRPr="007E0674">
        <w:rPr>
          <w:rFonts w:ascii="Proxima Nova" w:eastAsia="Times New Roman" w:hAnsi="Proxima Nova" w:cs="Times New Roman"/>
          <w:lang w:eastAsia="en-GB"/>
        </w:rPr>
        <w:t>Charges may be applied where operational disruption, additional handling, or corrective work is required due to non-compliant deliveries.</w:t>
      </w:r>
    </w:p>
    <w:p w14:paraId="0C1A3351" w14:textId="77777777" w:rsidR="00EC17C2" w:rsidRPr="007E0674" w:rsidRDefault="00EC17C2" w:rsidP="00EC17C2">
      <w:pPr>
        <w:spacing w:before="100" w:beforeAutospacing="1" w:after="100" w:afterAutospacing="1"/>
        <w:outlineLvl w:val="0"/>
        <w:rPr>
          <w:rFonts w:ascii="Proxima Nova" w:eastAsia="Times New Roman" w:hAnsi="Proxima Nova" w:cs="Times New Roman"/>
          <w:b/>
          <w:bCs/>
          <w:kern w:val="36"/>
          <w:lang w:eastAsia="en-GB"/>
        </w:rPr>
      </w:pPr>
      <w:r w:rsidRPr="007E0674">
        <w:rPr>
          <w:rFonts w:ascii="Proxima Nova" w:eastAsia="Times New Roman" w:hAnsi="Proxima Nova" w:cs="Times New Roman"/>
          <w:b/>
          <w:bCs/>
          <w:kern w:val="36"/>
          <w:lang w:eastAsia="en-GB"/>
        </w:rPr>
        <w:t>1. Booking &amp; Delivery Non-Compliance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9"/>
        <w:gridCol w:w="4340"/>
        <w:gridCol w:w="1010"/>
        <w:gridCol w:w="2177"/>
      </w:tblGrid>
      <w:tr w:rsidR="00EC17C2" w:rsidRPr="007E0674" w14:paraId="20839488" w14:textId="77777777" w:rsidTr="0089470E">
        <w:tc>
          <w:tcPr>
            <w:tcW w:w="0" w:type="auto"/>
            <w:hideMark/>
          </w:tcPr>
          <w:p w14:paraId="642F68EA" w14:textId="77777777" w:rsidR="00EC17C2" w:rsidRPr="007E0674" w:rsidRDefault="00EC17C2" w:rsidP="000F3627">
            <w:pPr>
              <w:jc w:val="center"/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  <w:t>Reason Code</w:t>
            </w:r>
          </w:p>
        </w:tc>
        <w:tc>
          <w:tcPr>
            <w:tcW w:w="0" w:type="auto"/>
            <w:hideMark/>
          </w:tcPr>
          <w:p w14:paraId="09D8C595" w14:textId="77777777" w:rsidR="00EC17C2" w:rsidRPr="007E0674" w:rsidRDefault="00EC17C2" w:rsidP="000F3627">
            <w:pPr>
              <w:jc w:val="center"/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  <w:t>Description</w:t>
            </w:r>
          </w:p>
        </w:tc>
        <w:tc>
          <w:tcPr>
            <w:tcW w:w="0" w:type="auto"/>
            <w:hideMark/>
          </w:tcPr>
          <w:p w14:paraId="5C20A02C" w14:textId="77777777" w:rsidR="00EC17C2" w:rsidRPr="007E0674" w:rsidRDefault="00EC17C2" w:rsidP="000F3627">
            <w:pPr>
              <w:jc w:val="center"/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  <w:t>Charge</w:t>
            </w:r>
          </w:p>
        </w:tc>
        <w:tc>
          <w:tcPr>
            <w:tcW w:w="2177" w:type="dxa"/>
            <w:hideMark/>
          </w:tcPr>
          <w:p w14:paraId="6AAD96EB" w14:textId="77777777" w:rsidR="00EC17C2" w:rsidRPr="007E0674" w:rsidRDefault="00EC17C2" w:rsidP="000F3627">
            <w:pPr>
              <w:jc w:val="center"/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  <w:t>Unit</w:t>
            </w:r>
          </w:p>
        </w:tc>
      </w:tr>
      <w:tr w:rsidR="00EC17C2" w:rsidRPr="007E0674" w14:paraId="3566A03A" w14:textId="77777777" w:rsidTr="0089470E">
        <w:tc>
          <w:tcPr>
            <w:tcW w:w="0" w:type="auto"/>
            <w:hideMark/>
          </w:tcPr>
          <w:p w14:paraId="72E5F31B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  <w:t>B01</w:t>
            </w:r>
          </w:p>
        </w:tc>
        <w:tc>
          <w:tcPr>
            <w:tcW w:w="0" w:type="auto"/>
            <w:hideMark/>
          </w:tcPr>
          <w:p w14:paraId="7AAC3A82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  <w:t>Arrival without confirmed booking slot</w:t>
            </w:r>
          </w:p>
        </w:tc>
        <w:tc>
          <w:tcPr>
            <w:tcW w:w="0" w:type="auto"/>
            <w:hideMark/>
          </w:tcPr>
          <w:p w14:paraId="3C4D760D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  <w:t>£15</w:t>
            </w:r>
          </w:p>
        </w:tc>
        <w:tc>
          <w:tcPr>
            <w:tcW w:w="2177" w:type="dxa"/>
            <w:hideMark/>
          </w:tcPr>
          <w:p w14:paraId="02B6AF10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  <w:t>Per delivery</w:t>
            </w:r>
          </w:p>
        </w:tc>
      </w:tr>
      <w:tr w:rsidR="00EC17C2" w:rsidRPr="007E0674" w14:paraId="046FE7D4" w14:textId="77777777" w:rsidTr="0089470E">
        <w:tc>
          <w:tcPr>
            <w:tcW w:w="0" w:type="auto"/>
            <w:hideMark/>
          </w:tcPr>
          <w:p w14:paraId="3D1D9961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  <w:t>B02</w:t>
            </w:r>
          </w:p>
        </w:tc>
        <w:tc>
          <w:tcPr>
            <w:tcW w:w="0" w:type="auto"/>
            <w:hideMark/>
          </w:tcPr>
          <w:p w14:paraId="3391F395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  <w:t>Arrival early or late outside confirmed slot</w:t>
            </w:r>
          </w:p>
        </w:tc>
        <w:tc>
          <w:tcPr>
            <w:tcW w:w="0" w:type="auto"/>
            <w:hideMark/>
          </w:tcPr>
          <w:p w14:paraId="013A70B4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  <w:t>£15</w:t>
            </w:r>
          </w:p>
        </w:tc>
        <w:tc>
          <w:tcPr>
            <w:tcW w:w="2177" w:type="dxa"/>
            <w:hideMark/>
          </w:tcPr>
          <w:p w14:paraId="3A024723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  <w:t>Per delivery</w:t>
            </w:r>
          </w:p>
        </w:tc>
      </w:tr>
      <w:tr w:rsidR="00EC17C2" w:rsidRPr="007E0674" w14:paraId="71778496" w14:textId="77777777" w:rsidTr="0089470E">
        <w:tc>
          <w:tcPr>
            <w:tcW w:w="0" w:type="auto"/>
            <w:hideMark/>
          </w:tcPr>
          <w:p w14:paraId="541D7459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  <w:t>PW1</w:t>
            </w:r>
          </w:p>
        </w:tc>
        <w:tc>
          <w:tcPr>
            <w:tcW w:w="0" w:type="auto"/>
            <w:hideMark/>
          </w:tcPr>
          <w:p w14:paraId="09056D5A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  <w:t>Incorrect or missing delivery reference</w:t>
            </w:r>
          </w:p>
        </w:tc>
        <w:tc>
          <w:tcPr>
            <w:tcW w:w="0" w:type="auto"/>
            <w:hideMark/>
          </w:tcPr>
          <w:p w14:paraId="3040C234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  <w:t>£15</w:t>
            </w:r>
          </w:p>
        </w:tc>
        <w:tc>
          <w:tcPr>
            <w:tcW w:w="2177" w:type="dxa"/>
            <w:hideMark/>
          </w:tcPr>
          <w:p w14:paraId="3F671AAF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  <w:t>Per delivery</w:t>
            </w:r>
          </w:p>
        </w:tc>
      </w:tr>
      <w:tr w:rsidR="00EC17C2" w:rsidRPr="007E0674" w14:paraId="2DEFC05F" w14:textId="77777777" w:rsidTr="0089470E">
        <w:tc>
          <w:tcPr>
            <w:tcW w:w="0" w:type="auto"/>
            <w:hideMark/>
          </w:tcPr>
          <w:p w14:paraId="1126669B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  <w:t>PW2</w:t>
            </w:r>
          </w:p>
        </w:tc>
        <w:tc>
          <w:tcPr>
            <w:tcW w:w="0" w:type="auto"/>
            <w:hideMark/>
          </w:tcPr>
          <w:p w14:paraId="093B0262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  <w:t>Missing packing list or delivery documentation</w:t>
            </w:r>
          </w:p>
        </w:tc>
        <w:tc>
          <w:tcPr>
            <w:tcW w:w="0" w:type="auto"/>
            <w:hideMark/>
          </w:tcPr>
          <w:p w14:paraId="37D71450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  <w:t>£15</w:t>
            </w:r>
          </w:p>
        </w:tc>
        <w:tc>
          <w:tcPr>
            <w:tcW w:w="2177" w:type="dxa"/>
            <w:hideMark/>
          </w:tcPr>
          <w:p w14:paraId="51330911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  <w:t>Per delivery</w:t>
            </w:r>
          </w:p>
        </w:tc>
      </w:tr>
      <w:tr w:rsidR="00EC17C2" w:rsidRPr="007E0674" w14:paraId="4064B40B" w14:textId="77777777" w:rsidTr="0089470E">
        <w:tc>
          <w:tcPr>
            <w:tcW w:w="0" w:type="auto"/>
            <w:hideMark/>
          </w:tcPr>
          <w:p w14:paraId="61B3C544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  <w:t>AW1</w:t>
            </w:r>
          </w:p>
        </w:tc>
        <w:tc>
          <w:tcPr>
            <w:tcW w:w="0" w:type="auto"/>
            <w:hideMark/>
          </w:tcPr>
          <w:p w14:paraId="48A3A9DA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  <w:t>Arrival at incorrect ILG warehouse location</w:t>
            </w:r>
          </w:p>
        </w:tc>
        <w:tc>
          <w:tcPr>
            <w:tcW w:w="0" w:type="auto"/>
            <w:hideMark/>
          </w:tcPr>
          <w:p w14:paraId="49B7FC77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  <w:t>£50</w:t>
            </w:r>
          </w:p>
        </w:tc>
        <w:tc>
          <w:tcPr>
            <w:tcW w:w="2177" w:type="dxa"/>
            <w:hideMark/>
          </w:tcPr>
          <w:p w14:paraId="325D4D21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  <w:t>Per delivery</w:t>
            </w:r>
          </w:p>
        </w:tc>
      </w:tr>
    </w:tbl>
    <w:p w14:paraId="725BE7A7" w14:textId="77777777" w:rsidR="00EC17C2" w:rsidRPr="007E0674" w:rsidRDefault="00EC17C2" w:rsidP="00EC17C2">
      <w:pPr>
        <w:rPr>
          <w:rFonts w:ascii="Proxima Nova" w:eastAsia="Times New Roman" w:hAnsi="Proxima Nova" w:cs="Times New Roman"/>
          <w:lang w:eastAsia="en-GB"/>
        </w:rPr>
      </w:pPr>
    </w:p>
    <w:p w14:paraId="4AD2F3D1" w14:textId="77777777" w:rsidR="00EC17C2" w:rsidRPr="007E0674" w:rsidRDefault="00EC17C2" w:rsidP="00EC17C2">
      <w:pPr>
        <w:spacing w:before="100" w:beforeAutospacing="1" w:after="100" w:afterAutospacing="1"/>
        <w:outlineLvl w:val="0"/>
        <w:rPr>
          <w:rFonts w:ascii="Proxima Nova" w:eastAsia="Times New Roman" w:hAnsi="Proxima Nova" w:cs="Times New Roman"/>
          <w:b/>
          <w:bCs/>
          <w:kern w:val="36"/>
          <w:lang w:eastAsia="en-GB"/>
        </w:rPr>
      </w:pPr>
      <w:r w:rsidRPr="007E0674">
        <w:rPr>
          <w:rFonts w:ascii="Proxima Nova" w:eastAsia="Times New Roman" w:hAnsi="Proxima Nova" w:cs="Times New Roman"/>
          <w:b/>
          <w:bCs/>
          <w:kern w:val="36"/>
          <w:lang w:eastAsia="en-GB"/>
        </w:rPr>
        <w:t>2. Pallet Non-Compliance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0"/>
        <w:gridCol w:w="4645"/>
        <w:gridCol w:w="1010"/>
        <w:gridCol w:w="1911"/>
      </w:tblGrid>
      <w:tr w:rsidR="00EC17C2" w:rsidRPr="007E0674" w14:paraId="71DB4763" w14:textId="77777777" w:rsidTr="0089470E">
        <w:tc>
          <w:tcPr>
            <w:tcW w:w="0" w:type="auto"/>
            <w:hideMark/>
          </w:tcPr>
          <w:p w14:paraId="19E08666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  <w:t>Reason Code</w:t>
            </w:r>
          </w:p>
        </w:tc>
        <w:tc>
          <w:tcPr>
            <w:tcW w:w="0" w:type="auto"/>
            <w:hideMark/>
          </w:tcPr>
          <w:p w14:paraId="5590B8FE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  <w:t>Description</w:t>
            </w:r>
          </w:p>
        </w:tc>
        <w:tc>
          <w:tcPr>
            <w:tcW w:w="0" w:type="auto"/>
            <w:hideMark/>
          </w:tcPr>
          <w:p w14:paraId="2C15BC1F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  <w:t>Charge</w:t>
            </w:r>
          </w:p>
        </w:tc>
        <w:tc>
          <w:tcPr>
            <w:tcW w:w="0" w:type="auto"/>
            <w:hideMark/>
          </w:tcPr>
          <w:p w14:paraId="58DEAE8D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  <w:t>Unit</w:t>
            </w:r>
          </w:p>
        </w:tc>
      </w:tr>
      <w:tr w:rsidR="00EC17C2" w:rsidRPr="007E0674" w14:paraId="6D3A02EF" w14:textId="77777777" w:rsidTr="0089470E">
        <w:tc>
          <w:tcPr>
            <w:tcW w:w="0" w:type="auto"/>
            <w:hideMark/>
          </w:tcPr>
          <w:p w14:paraId="044E9DF3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lang w:eastAsia="en-GB"/>
              </w:rPr>
              <w:t>PA1</w:t>
            </w:r>
          </w:p>
        </w:tc>
        <w:tc>
          <w:tcPr>
            <w:tcW w:w="0" w:type="auto"/>
            <w:hideMark/>
          </w:tcPr>
          <w:p w14:paraId="570E25DA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lang w:eastAsia="en-GB"/>
              </w:rPr>
              <w:t>Unsecured pallet (not shrink wrapped or strapped)</w:t>
            </w:r>
          </w:p>
        </w:tc>
        <w:tc>
          <w:tcPr>
            <w:tcW w:w="0" w:type="auto"/>
            <w:hideMark/>
          </w:tcPr>
          <w:p w14:paraId="54CF0D56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lang w:eastAsia="en-GB"/>
              </w:rPr>
              <w:t>£25</w:t>
            </w:r>
          </w:p>
        </w:tc>
        <w:tc>
          <w:tcPr>
            <w:tcW w:w="0" w:type="auto"/>
            <w:hideMark/>
          </w:tcPr>
          <w:p w14:paraId="263F80B9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lang w:eastAsia="en-GB"/>
              </w:rPr>
              <w:t>Per pallet</w:t>
            </w:r>
          </w:p>
        </w:tc>
      </w:tr>
      <w:tr w:rsidR="00EC17C2" w:rsidRPr="007E0674" w14:paraId="55AE866E" w14:textId="77777777" w:rsidTr="0089470E">
        <w:tc>
          <w:tcPr>
            <w:tcW w:w="0" w:type="auto"/>
            <w:hideMark/>
          </w:tcPr>
          <w:p w14:paraId="658F80D6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lang w:eastAsia="en-GB"/>
              </w:rPr>
              <w:t>PA2</w:t>
            </w:r>
          </w:p>
        </w:tc>
        <w:tc>
          <w:tcPr>
            <w:tcW w:w="0" w:type="auto"/>
            <w:hideMark/>
          </w:tcPr>
          <w:p w14:paraId="4D4E6EE1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lang w:eastAsia="en-GB"/>
              </w:rPr>
              <w:t>Overweight or over-height pallet requiring repalletizing</w:t>
            </w:r>
          </w:p>
        </w:tc>
        <w:tc>
          <w:tcPr>
            <w:tcW w:w="0" w:type="auto"/>
            <w:hideMark/>
          </w:tcPr>
          <w:p w14:paraId="55007F1C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lang w:eastAsia="en-GB"/>
              </w:rPr>
              <w:t>£6.75</w:t>
            </w:r>
          </w:p>
        </w:tc>
        <w:tc>
          <w:tcPr>
            <w:tcW w:w="0" w:type="auto"/>
            <w:hideMark/>
          </w:tcPr>
          <w:p w14:paraId="0F19390E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lang w:eastAsia="en-GB"/>
              </w:rPr>
              <w:t>Per pallet provided</w:t>
            </w:r>
          </w:p>
        </w:tc>
      </w:tr>
      <w:tr w:rsidR="00EC17C2" w:rsidRPr="007E0674" w14:paraId="58E9841B" w14:textId="77777777" w:rsidTr="0089470E">
        <w:tc>
          <w:tcPr>
            <w:tcW w:w="0" w:type="auto"/>
            <w:hideMark/>
          </w:tcPr>
          <w:p w14:paraId="23681A95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lang w:eastAsia="en-GB"/>
              </w:rPr>
              <w:t>PA3</w:t>
            </w:r>
          </w:p>
        </w:tc>
        <w:tc>
          <w:tcPr>
            <w:tcW w:w="0" w:type="auto"/>
            <w:hideMark/>
          </w:tcPr>
          <w:p w14:paraId="6BD079D4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lang w:eastAsia="en-GB"/>
              </w:rPr>
              <w:t>Loose cartons delivered without pallets</w:t>
            </w:r>
          </w:p>
        </w:tc>
        <w:tc>
          <w:tcPr>
            <w:tcW w:w="0" w:type="auto"/>
            <w:hideMark/>
          </w:tcPr>
          <w:p w14:paraId="37DEA098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lang w:eastAsia="en-GB"/>
              </w:rPr>
              <w:t>£6.75</w:t>
            </w:r>
          </w:p>
        </w:tc>
        <w:tc>
          <w:tcPr>
            <w:tcW w:w="0" w:type="auto"/>
            <w:hideMark/>
          </w:tcPr>
          <w:p w14:paraId="72C3B451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lang w:eastAsia="en-GB"/>
              </w:rPr>
              <w:t>Per pallet provided</w:t>
            </w:r>
          </w:p>
        </w:tc>
      </w:tr>
      <w:tr w:rsidR="00EC17C2" w:rsidRPr="007E0674" w14:paraId="72D07873" w14:textId="77777777" w:rsidTr="0089470E">
        <w:tc>
          <w:tcPr>
            <w:tcW w:w="0" w:type="auto"/>
            <w:hideMark/>
          </w:tcPr>
          <w:p w14:paraId="117DE33E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lang w:eastAsia="en-GB"/>
              </w:rPr>
              <w:t>PA4</w:t>
            </w:r>
          </w:p>
        </w:tc>
        <w:tc>
          <w:tcPr>
            <w:tcW w:w="0" w:type="auto"/>
            <w:hideMark/>
          </w:tcPr>
          <w:p w14:paraId="2583766D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lang w:eastAsia="en-GB"/>
              </w:rPr>
              <w:t>Palletising charge for loose cartons</w:t>
            </w:r>
          </w:p>
        </w:tc>
        <w:tc>
          <w:tcPr>
            <w:tcW w:w="0" w:type="auto"/>
            <w:hideMark/>
          </w:tcPr>
          <w:p w14:paraId="3F62F037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lang w:eastAsia="en-GB"/>
              </w:rPr>
              <w:t>£15</w:t>
            </w:r>
          </w:p>
        </w:tc>
        <w:tc>
          <w:tcPr>
            <w:tcW w:w="0" w:type="auto"/>
            <w:hideMark/>
          </w:tcPr>
          <w:p w14:paraId="51A645CC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lang w:eastAsia="en-GB"/>
              </w:rPr>
              <w:t>Per pallet</w:t>
            </w:r>
          </w:p>
        </w:tc>
      </w:tr>
    </w:tbl>
    <w:p w14:paraId="42F0CF2E" w14:textId="77777777" w:rsidR="007E0674" w:rsidRDefault="007E0674" w:rsidP="00EC17C2">
      <w:pPr>
        <w:spacing w:before="100" w:beforeAutospacing="1" w:after="100" w:afterAutospacing="1"/>
        <w:outlineLvl w:val="0"/>
        <w:rPr>
          <w:rFonts w:ascii="Proxima Nova" w:eastAsia="Times New Roman" w:hAnsi="Proxima Nova" w:cs="Times New Roman"/>
          <w:b/>
          <w:bCs/>
          <w:kern w:val="36"/>
          <w:lang w:eastAsia="en-GB"/>
        </w:rPr>
      </w:pPr>
    </w:p>
    <w:p w14:paraId="42A9CFB5" w14:textId="3238AA7A" w:rsidR="00EC17C2" w:rsidRPr="007E0674" w:rsidRDefault="00EC17C2" w:rsidP="00EC17C2">
      <w:pPr>
        <w:spacing w:before="100" w:beforeAutospacing="1" w:after="100" w:afterAutospacing="1"/>
        <w:outlineLvl w:val="0"/>
        <w:rPr>
          <w:rFonts w:ascii="Proxima Nova" w:eastAsia="Times New Roman" w:hAnsi="Proxima Nova" w:cs="Times New Roman"/>
          <w:b/>
          <w:bCs/>
          <w:kern w:val="36"/>
          <w:lang w:eastAsia="en-GB"/>
        </w:rPr>
      </w:pPr>
      <w:r w:rsidRPr="007E0674">
        <w:rPr>
          <w:rFonts w:ascii="Proxima Nova" w:eastAsia="Times New Roman" w:hAnsi="Proxima Nova" w:cs="Times New Roman"/>
          <w:b/>
          <w:bCs/>
          <w:kern w:val="36"/>
          <w:lang w:eastAsia="en-GB"/>
        </w:rPr>
        <w:lastRenderedPageBreak/>
        <w:t>3. Container Handling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9"/>
        <w:gridCol w:w="3411"/>
        <w:gridCol w:w="1529"/>
        <w:gridCol w:w="2507"/>
      </w:tblGrid>
      <w:tr w:rsidR="00EC17C2" w:rsidRPr="007E0674" w14:paraId="0A585173" w14:textId="77777777" w:rsidTr="0089470E">
        <w:tc>
          <w:tcPr>
            <w:tcW w:w="0" w:type="auto"/>
            <w:hideMark/>
          </w:tcPr>
          <w:p w14:paraId="07923D61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  <w:t>Reason Code</w:t>
            </w:r>
          </w:p>
        </w:tc>
        <w:tc>
          <w:tcPr>
            <w:tcW w:w="3411" w:type="dxa"/>
            <w:hideMark/>
          </w:tcPr>
          <w:p w14:paraId="104977ED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  <w:t>Description</w:t>
            </w:r>
          </w:p>
        </w:tc>
        <w:tc>
          <w:tcPr>
            <w:tcW w:w="1529" w:type="dxa"/>
            <w:hideMark/>
          </w:tcPr>
          <w:p w14:paraId="6D8A6FB9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  <w:t>Charge</w:t>
            </w:r>
          </w:p>
        </w:tc>
        <w:tc>
          <w:tcPr>
            <w:tcW w:w="2507" w:type="dxa"/>
            <w:hideMark/>
          </w:tcPr>
          <w:p w14:paraId="72ED07FC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  <w:t>Unit</w:t>
            </w:r>
          </w:p>
        </w:tc>
      </w:tr>
      <w:tr w:rsidR="00EC17C2" w:rsidRPr="007E0674" w14:paraId="2300F08A" w14:textId="77777777" w:rsidTr="0089470E">
        <w:tc>
          <w:tcPr>
            <w:tcW w:w="0" w:type="auto"/>
            <w:hideMark/>
          </w:tcPr>
          <w:p w14:paraId="793968D6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  <w:t>C01</w:t>
            </w:r>
          </w:p>
        </w:tc>
        <w:tc>
          <w:tcPr>
            <w:tcW w:w="3411" w:type="dxa"/>
            <w:hideMark/>
          </w:tcPr>
          <w:p w14:paraId="2A77E58F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  <w:t>Loose loaded 40ft container</w:t>
            </w:r>
          </w:p>
        </w:tc>
        <w:tc>
          <w:tcPr>
            <w:tcW w:w="1529" w:type="dxa"/>
            <w:hideMark/>
          </w:tcPr>
          <w:p w14:paraId="54AE76B0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  <w:t>£250</w:t>
            </w:r>
          </w:p>
        </w:tc>
        <w:tc>
          <w:tcPr>
            <w:tcW w:w="2507" w:type="dxa"/>
            <w:hideMark/>
          </w:tcPr>
          <w:p w14:paraId="440C32AD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  <w:t>Per container</w:t>
            </w:r>
          </w:p>
        </w:tc>
      </w:tr>
      <w:tr w:rsidR="00EC17C2" w:rsidRPr="007E0674" w14:paraId="1B15EC06" w14:textId="77777777" w:rsidTr="0089470E">
        <w:tc>
          <w:tcPr>
            <w:tcW w:w="0" w:type="auto"/>
            <w:hideMark/>
          </w:tcPr>
          <w:p w14:paraId="7618A1DD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  <w:t>C02</w:t>
            </w:r>
          </w:p>
        </w:tc>
        <w:tc>
          <w:tcPr>
            <w:tcW w:w="3411" w:type="dxa"/>
            <w:hideMark/>
          </w:tcPr>
          <w:p w14:paraId="2A06A348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  <w:t>Loose loaded 20ft container</w:t>
            </w:r>
          </w:p>
        </w:tc>
        <w:tc>
          <w:tcPr>
            <w:tcW w:w="1529" w:type="dxa"/>
            <w:hideMark/>
          </w:tcPr>
          <w:p w14:paraId="5BB2CEB5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  <w:t>£150</w:t>
            </w:r>
          </w:p>
        </w:tc>
        <w:tc>
          <w:tcPr>
            <w:tcW w:w="2507" w:type="dxa"/>
            <w:hideMark/>
          </w:tcPr>
          <w:p w14:paraId="75B0CF84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  <w:t>Per container</w:t>
            </w:r>
          </w:p>
        </w:tc>
      </w:tr>
    </w:tbl>
    <w:p w14:paraId="330C5967" w14:textId="77777777" w:rsidR="00EC17C2" w:rsidRPr="007E0674" w:rsidRDefault="00EC17C2" w:rsidP="00EC17C2">
      <w:pPr>
        <w:spacing w:before="100" w:beforeAutospacing="1" w:after="100" w:afterAutospacing="1"/>
        <w:rPr>
          <w:rFonts w:ascii="Proxima Nova" w:eastAsia="Times New Roman" w:hAnsi="Proxima Nova" w:cs="Times New Roman"/>
          <w:lang w:eastAsia="en-GB"/>
        </w:rPr>
      </w:pPr>
      <w:r w:rsidRPr="007E0674">
        <w:rPr>
          <w:rFonts w:ascii="Proxima Nova" w:eastAsia="Times New Roman" w:hAnsi="Proxima Nova" w:cs="Times New Roman"/>
          <w:lang w:eastAsia="en-GB"/>
        </w:rPr>
        <w:t>These charges apply due to the additional labour and time required to manually unload loose-loaded containers.</w:t>
      </w:r>
    </w:p>
    <w:p w14:paraId="7BCE993C" w14:textId="77777777" w:rsidR="00EC17C2" w:rsidRPr="007E0674" w:rsidRDefault="00EC17C2" w:rsidP="00EC17C2">
      <w:pPr>
        <w:spacing w:before="100" w:beforeAutospacing="1" w:after="100" w:afterAutospacing="1"/>
        <w:outlineLvl w:val="0"/>
        <w:rPr>
          <w:rFonts w:ascii="Proxima Nova" w:eastAsia="Times New Roman" w:hAnsi="Proxima Nova" w:cs="Times New Roman"/>
          <w:b/>
          <w:bCs/>
          <w:kern w:val="36"/>
          <w:lang w:eastAsia="en-GB"/>
        </w:rPr>
      </w:pPr>
      <w:r w:rsidRPr="007E0674">
        <w:rPr>
          <w:rFonts w:ascii="Proxima Nova" w:eastAsia="Times New Roman" w:hAnsi="Proxima Nova" w:cs="Times New Roman"/>
          <w:b/>
          <w:bCs/>
          <w:kern w:val="36"/>
          <w:lang w:eastAsia="en-GB"/>
        </w:rPr>
        <w:t>4. Inspection, QC &amp; Rework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2"/>
        <w:gridCol w:w="4240"/>
        <w:gridCol w:w="1122"/>
        <w:gridCol w:w="2312"/>
      </w:tblGrid>
      <w:tr w:rsidR="00EC17C2" w:rsidRPr="007E0674" w14:paraId="1B41BD94" w14:textId="77777777" w:rsidTr="0089470E">
        <w:tc>
          <w:tcPr>
            <w:tcW w:w="0" w:type="auto"/>
            <w:hideMark/>
          </w:tcPr>
          <w:p w14:paraId="3FD98450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  <w:t>Reason Code</w:t>
            </w:r>
          </w:p>
        </w:tc>
        <w:tc>
          <w:tcPr>
            <w:tcW w:w="0" w:type="auto"/>
            <w:hideMark/>
          </w:tcPr>
          <w:p w14:paraId="16B5D219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  <w:t>Description</w:t>
            </w:r>
          </w:p>
        </w:tc>
        <w:tc>
          <w:tcPr>
            <w:tcW w:w="0" w:type="auto"/>
            <w:hideMark/>
          </w:tcPr>
          <w:p w14:paraId="5849C52C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  <w:t>Charge</w:t>
            </w:r>
          </w:p>
        </w:tc>
        <w:tc>
          <w:tcPr>
            <w:tcW w:w="0" w:type="auto"/>
            <w:hideMark/>
          </w:tcPr>
          <w:p w14:paraId="211E1CC0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  <w:t>Unit</w:t>
            </w:r>
          </w:p>
        </w:tc>
      </w:tr>
      <w:tr w:rsidR="00EC17C2" w:rsidRPr="007E0674" w14:paraId="3FB7744B" w14:textId="77777777" w:rsidTr="0089470E">
        <w:tc>
          <w:tcPr>
            <w:tcW w:w="0" w:type="auto"/>
            <w:hideMark/>
          </w:tcPr>
          <w:p w14:paraId="4412A9B6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lang w:eastAsia="en-GB"/>
              </w:rPr>
              <w:t>CI1</w:t>
            </w:r>
          </w:p>
        </w:tc>
        <w:tc>
          <w:tcPr>
            <w:tcW w:w="0" w:type="auto"/>
            <w:hideMark/>
          </w:tcPr>
          <w:p w14:paraId="1B0587E2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lang w:eastAsia="en-GB"/>
              </w:rPr>
              <w:t>Carton inspection (verification, damage check, seal check)</w:t>
            </w:r>
          </w:p>
        </w:tc>
        <w:tc>
          <w:tcPr>
            <w:tcW w:w="0" w:type="auto"/>
            <w:hideMark/>
          </w:tcPr>
          <w:p w14:paraId="3E3A97A2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lang w:eastAsia="en-GB"/>
              </w:rPr>
              <w:t>£30</w:t>
            </w:r>
          </w:p>
        </w:tc>
        <w:tc>
          <w:tcPr>
            <w:tcW w:w="0" w:type="auto"/>
            <w:hideMark/>
          </w:tcPr>
          <w:p w14:paraId="68D7F3F9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lang w:eastAsia="en-GB"/>
              </w:rPr>
              <w:t>Per hour</w:t>
            </w:r>
          </w:p>
        </w:tc>
      </w:tr>
      <w:tr w:rsidR="00EC17C2" w:rsidRPr="007E0674" w14:paraId="1D4C8684" w14:textId="77777777" w:rsidTr="0089470E">
        <w:tc>
          <w:tcPr>
            <w:tcW w:w="0" w:type="auto"/>
            <w:hideMark/>
          </w:tcPr>
          <w:p w14:paraId="7BF53D1B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lang w:eastAsia="en-GB"/>
              </w:rPr>
              <w:t>RR2</w:t>
            </w:r>
          </w:p>
        </w:tc>
        <w:tc>
          <w:tcPr>
            <w:tcW w:w="0" w:type="auto"/>
            <w:hideMark/>
          </w:tcPr>
          <w:p w14:paraId="0A36292D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lang w:eastAsia="en-GB"/>
              </w:rPr>
              <w:t>Repacking, relabelling, revised manifests or documentation</w:t>
            </w:r>
          </w:p>
        </w:tc>
        <w:tc>
          <w:tcPr>
            <w:tcW w:w="0" w:type="auto"/>
            <w:hideMark/>
          </w:tcPr>
          <w:p w14:paraId="5AD65A45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lang w:eastAsia="en-GB"/>
              </w:rPr>
              <w:t>£40</w:t>
            </w:r>
          </w:p>
        </w:tc>
        <w:tc>
          <w:tcPr>
            <w:tcW w:w="0" w:type="auto"/>
            <w:hideMark/>
          </w:tcPr>
          <w:p w14:paraId="6C51E85F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lang w:eastAsia="en-GB"/>
              </w:rPr>
              <w:t>Per pallet or consignment</w:t>
            </w:r>
          </w:p>
        </w:tc>
      </w:tr>
      <w:tr w:rsidR="00EC17C2" w:rsidRPr="007E0674" w14:paraId="2A42538C" w14:textId="77777777" w:rsidTr="0089470E">
        <w:tc>
          <w:tcPr>
            <w:tcW w:w="0" w:type="auto"/>
            <w:hideMark/>
          </w:tcPr>
          <w:p w14:paraId="1BD12F20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lang w:eastAsia="en-GB"/>
              </w:rPr>
              <w:t>RW1</w:t>
            </w:r>
          </w:p>
        </w:tc>
        <w:tc>
          <w:tcPr>
            <w:tcW w:w="0" w:type="auto"/>
            <w:hideMark/>
          </w:tcPr>
          <w:p w14:paraId="4309A8CE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lang w:eastAsia="en-GB"/>
              </w:rPr>
              <w:t>Quality control or rework due to non-compliance</w:t>
            </w:r>
          </w:p>
        </w:tc>
        <w:tc>
          <w:tcPr>
            <w:tcW w:w="0" w:type="auto"/>
            <w:hideMark/>
          </w:tcPr>
          <w:p w14:paraId="649DB9EE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lang w:eastAsia="en-GB"/>
              </w:rPr>
              <w:t>Variable</w:t>
            </w:r>
          </w:p>
        </w:tc>
        <w:tc>
          <w:tcPr>
            <w:tcW w:w="0" w:type="auto"/>
            <w:hideMark/>
          </w:tcPr>
          <w:p w14:paraId="11F2CA29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lang w:eastAsia="en-GB"/>
              </w:rPr>
              <w:t>Based on labour time</w:t>
            </w:r>
          </w:p>
        </w:tc>
      </w:tr>
      <w:tr w:rsidR="00EC17C2" w:rsidRPr="007E0674" w14:paraId="71539384" w14:textId="77777777" w:rsidTr="0089470E">
        <w:tc>
          <w:tcPr>
            <w:tcW w:w="0" w:type="auto"/>
            <w:hideMark/>
          </w:tcPr>
          <w:p w14:paraId="4D8BF4BB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lang w:eastAsia="en-GB"/>
              </w:rPr>
              <w:t>RS1</w:t>
            </w:r>
          </w:p>
        </w:tc>
        <w:tc>
          <w:tcPr>
            <w:tcW w:w="0" w:type="auto"/>
            <w:hideMark/>
          </w:tcPr>
          <w:p w14:paraId="0D387FBB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lang w:eastAsia="en-GB"/>
              </w:rPr>
              <w:t>Additional packaging materials used</w:t>
            </w:r>
          </w:p>
        </w:tc>
        <w:tc>
          <w:tcPr>
            <w:tcW w:w="0" w:type="auto"/>
            <w:hideMark/>
          </w:tcPr>
          <w:p w14:paraId="4B88DB96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lang w:eastAsia="en-GB"/>
              </w:rPr>
              <w:t>At cost</w:t>
            </w:r>
          </w:p>
        </w:tc>
        <w:tc>
          <w:tcPr>
            <w:tcW w:w="0" w:type="auto"/>
            <w:hideMark/>
          </w:tcPr>
          <w:p w14:paraId="5C5CDB3D" w14:textId="77777777" w:rsidR="00EC17C2" w:rsidRPr="007E0674" w:rsidRDefault="00EC17C2" w:rsidP="000F3627">
            <w:pPr>
              <w:rPr>
                <w:rFonts w:ascii="Proxima Nova" w:eastAsia="Times New Roman" w:hAnsi="Proxima Nova" w:cs="Times New Roman"/>
                <w:b/>
                <w:bCs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lang w:eastAsia="en-GB"/>
              </w:rPr>
              <w:t>Per use</w:t>
            </w:r>
          </w:p>
        </w:tc>
      </w:tr>
    </w:tbl>
    <w:p w14:paraId="2E4F1F6C" w14:textId="77777777" w:rsidR="00EC17C2" w:rsidRPr="007E0674" w:rsidRDefault="00EC17C2" w:rsidP="00EC17C2">
      <w:pPr>
        <w:rPr>
          <w:rFonts w:ascii="Proxima Nova" w:eastAsia="Times New Roman" w:hAnsi="Proxima Nova" w:cs="Times New Roman"/>
          <w:lang w:eastAsia="en-GB"/>
        </w:rPr>
      </w:pPr>
    </w:p>
    <w:p w14:paraId="2C753E70" w14:textId="77777777" w:rsidR="00EC17C2" w:rsidRPr="007E0674" w:rsidRDefault="00EC17C2" w:rsidP="00EC17C2">
      <w:pPr>
        <w:spacing w:before="100" w:beforeAutospacing="1" w:after="100" w:afterAutospacing="1"/>
        <w:outlineLvl w:val="0"/>
        <w:rPr>
          <w:rFonts w:ascii="Proxima Nova" w:eastAsia="Times New Roman" w:hAnsi="Proxima Nova" w:cs="Times New Roman"/>
          <w:b/>
          <w:bCs/>
          <w:kern w:val="36"/>
          <w:lang w:eastAsia="en-GB"/>
        </w:rPr>
      </w:pPr>
      <w:r w:rsidRPr="007E0674">
        <w:rPr>
          <w:rFonts w:ascii="Proxima Nova" w:eastAsia="Times New Roman" w:hAnsi="Proxima Nova" w:cs="Times New Roman"/>
          <w:b/>
          <w:bCs/>
          <w:kern w:val="36"/>
          <w:lang w:eastAsia="en-GB"/>
        </w:rPr>
        <w:t>5. Freight Forwarding &amp; Value-Added Handling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7"/>
        <w:gridCol w:w="4273"/>
        <w:gridCol w:w="1010"/>
        <w:gridCol w:w="2366"/>
      </w:tblGrid>
      <w:tr w:rsidR="007E0674" w:rsidRPr="007E0674" w14:paraId="7A3549FD" w14:textId="77777777" w:rsidTr="0089470E">
        <w:tc>
          <w:tcPr>
            <w:tcW w:w="0" w:type="auto"/>
            <w:hideMark/>
          </w:tcPr>
          <w:p w14:paraId="28E91E1D" w14:textId="77777777" w:rsidR="007E0674" w:rsidRPr="007E0674" w:rsidRDefault="007E0674" w:rsidP="000F3627">
            <w:pPr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  <w:t>Reason Code</w:t>
            </w:r>
          </w:p>
        </w:tc>
        <w:tc>
          <w:tcPr>
            <w:tcW w:w="0" w:type="auto"/>
            <w:hideMark/>
          </w:tcPr>
          <w:p w14:paraId="123506B2" w14:textId="77777777" w:rsidR="007E0674" w:rsidRPr="007E0674" w:rsidRDefault="007E0674" w:rsidP="000F3627">
            <w:pPr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  <w:t>Description</w:t>
            </w:r>
          </w:p>
        </w:tc>
        <w:tc>
          <w:tcPr>
            <w:tcW w:w="0" w:type="auto"/>
            <w:hideMark/>
          </w:tcPr>
          <w:p w14:paraId="174E8B12" w14:textId="77777777" w:rsidR="007E0674" w:rsidRPr="007E0674" w:rsidRDefault="007E0674" w:rsidP="000F3627">
            <w:pPr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  <w:t>Charge</w:t>
            </w:r>
          </w:p>
        </w:tc>
        <w:tc>
          <w:tcPr>
            <w:tcW w:w="0" w:type="auto"/>
            <w:hideMark/>
          </w:tcPr>
          <w:p w14:paraId="3B39F20E" w14:textId="77777777" w:rsidR="007E0674" w:rsidRPr="007E0674" w:rsidRDefault="007E0674" w:rsidP="000F3627">
            <w:pPr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  <w:t>Unit</w:t>
            </w:r>
          </w:p>
        </w:tc>
      </w:tr>
      <w:tr w:rsidR="007E0674" w:rsidRPr="007E0674" w14:paraId="3D790B80" w14:textId="77777777" w:rsidTr="0089470E">
        <w:tc>
          <w:tcPr>
            <w:tcW w:w="0" w:type="auto"/>
            <w:hideMark/>
          </w:tcPr>
          <w:p w14:paraId="696457F5" w14:textId="77777777" w:rsidR="007E0674" w:rsidRPr="007E0674" w:rsidRDefault="007E0674" w:rsidP="000F3627">
            <w:pPr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  <w:t>FF1</w:t>
            </w:r>
          </w:p>
        </w:tc>
        <w:tc>
          <w:tcPr>
            <w:tcW w:w="0" w:type="auto"/>
            <w:hideMark/>
          </w:tcPr>
          <w:p w14:paraId="498F4551" w14:textId="77777777" w:rsidR="007E0674" w:rsidRPr="007E0674" w:rsidRDefault="007E0674" w:rsidP="000F3627">
            <w:pPr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  <w:t>Forwarding pallets or cartons to third party or end customer</w:t>
            </w:r>
          </w:p>
        </w:tc>
        <w:tc>
          <w:tcPr>
            <w:tcW w:w="0" w:type="auto"/>
            <w:hideMark/>
          </w:tcPr>
          <w:p w14:paraId="1863232C" w14:textId="77777777" w:rsidR="007E0674" w:rsidRPr="007E0674" w:rsidRDefault="007E0674" w:rsidP="000F3627">
            <w:pPr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  <w:t>£25</w:t>
            </w:r>
          </w:p>
        </w:tc>
        <w:tc>
          <w:tcPr>
            <w:tcW w:w="0" w:type="auto"/>
            <w:hideMark/>
          </w:tcPr>
          <w:p w14:paraId="2E49144B" w14:textId="77777777" w:rsidR="007E0674" w:rsidRPr="007E0674" w:rsidRDefault="007E0674" w:rsidP="000F3627">
            <w:pPr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</w:pPr>
            <w:r w:rsidRPr="007E0674">
              <w:rPr>
                <w:rFonts w:ascii="Proxima Nova" w:eastAsia="Times New Roman" w:hAnsi="Proxima Nova" w:cs="Times New Roman"/>
                <w:b/>
                <w:bCs/>
                <w:color w:val="000000" w:themeColor="text1"/>
                <w:lang w:eastAsia="en-GB"/>
              </w:rPr>
              <w:t>Per pallet or consignment</w:t>
            </w:r>
          </w:p>
        </w:tc>
      </w:tr>
    </w:tbl>
    <w:p w14:paraId="67BB0829" w14:textId="77777777" w:rsidR="00EC17C2" w:rsidRPr="00B256A1" w:rsidRDefault="00EC17C2" w:rsidP="00EC17C2">
      <w:pPr>
        <w:spacing w:before="100" w:beforeAutospacing="1" w:after="100" w:afterAutospacing="1"/>
        <w:rPr>
          <w:rFonts w:ascii="Proxima Nova" w:eastAsia="Times New Roman" w:hAnsi="Proxima Nova" w:cs="Times New Roman"/>
          <w:lang w:eastAsia="en-GB"/>
        </w:rPr>
      </w:pPr>
      <w:r w:rsidRPr="007E0674">
        <w:rPr>
          <w:rFonts w:ascii="Proxima Nova" w:eastAsia="Times New Roman" w:hAnsi="Proxima Nova" w:cs="Times New Roman"/>
          <w:lang w:eastAsia="en-GB"/>
        </w:rPr>
        <w:t xml:space="preserve">Freight transport costs remain the responsibility of the client unless otherwise agreed </w:t>
      </w:r>
      <w:r w:rsidRPr="00B256A1">
        <w:rPr>
          <w:rFonts w:ascii="Proxima Nova" w:eastAsia="Times New Roman" w:hAnsi="Proxima Nova" w:cs="Times New Roman"/>
          <w:lang w:eastAsia="en-GB"/>
        </w:rPr>
        <w:t>in writing.</w:t>
      </w:r>
    </w:p>
    <w:p w14:paraId="0D3504DC" w14:textId="77777777" w:rsidR="00EC17C2" w:rsidRPr="00B256A1" w:rsidRDefault="00EC17C2" w:rsidP="00EC17C2">
      <w:pPr>
        <w:tabs>
          <w:tab w:val="center" w:pos="4513"/>
        </w:tabs>
        <w:spacing w:before="100" w:beforeAutospacing="1" w:after="100" w:afterAutospacing="1"/>
        <w:outlineLvl w:val="0"/>
        <w:rPr>
          <w:rFonts w:ascii="Proxima Nova" w:eastAsia="Times New Roman" w:hAnsi="Proxima Nova" w:cs="Times New Roman"/>
          <w:b/>
          <w:bCs/>
          <w:kern w:val="36"/>
          <w:lang w:eastAsia="en-GB"/>
        </w:rPr>
      </w:pPr>
      <w:r w:rsidRPr="00B256A1">
        <w:rPr>
          <w:rFonts w:ascii="Proxima Nova" w:eastAsia="Times New Roman" w:hAnsi="Proxima Nova" w:cs="Times New Roman"/>
          <w:b/>
          <w:bCs/>
          <w:kern w:val="36"/>
          <w:lang w:eastAsia="en-GB"/>
        </w:rPr>
        <w:t>6. Application of Charges</w:t>
      </w:r>
      <w:r w:rsidRPr="00B256A1">
        <w:rPr>
          <w:rFonts w:ascii="Proxima Nova" w:eastAsia="Times New Roman" w:hAnsi="Proxima Nova" w:cs="Times New Roman"/>
          <w:b/>
          <w:bCs/>
          <w:kern w:val="36"/>
          <w:lang w:eastAsia="en-GB"/>
        </w:rPr>
        <w:tab/>
      </w:r>
    </w:p>
    <w:p w14:paraId="460817FB" w14:textId="77777777" w:rsidR="00EC17C2" w:rsidRPr="00B256A1" w:rsidRDefault="00EC17C2" w:rsidP="00EC17C2">
      <w:pPr>
        <w:spacing w:before="100" w:beforeAutospacing="1" w:after="100" w:afterAutospacing="1"/>
        <w:rPr>
          <w:rFonts w:ascii="Proxima Nova" w:eastAsia="Times New Roman" w:hAnsi="Proxima Nova" w:cs="Times New Roman"/>
          <w:lang w:eastAsia="en-GB"/>
        </w:rPr>
      </w:pPr>
      <w:r w:rsidRPr="00B256A1">
        <w:rPr>
          <w:rFonts w:ascii="Proxima Nova" w:eastAsia="Times New Roman" w:hAnsi="Proxima Nova" w:cs="Times New Roman"/>
          <w:lang w:eastAsia="en-GB"/>
        </w:rPr>
        <w:t>Non-compliance charges may be applied where deliveries:</w:t>
      </w:r>
    </w:p>
    <w:p w14:paraId="3F8CCA88" w14:textId="77777777" w:rsidR="00EC17C2" w:rsidRPr="00B256A1" w:rsidRDefault="00EC17C2" w:rsidP="00EC17C2">
      <w:pPr>
        <w:spacing w:before="100" w:beforeAutospacing="1" w:after="100" w:afterAutospacing="1"/>
        <w:rPr>
          <w:rFonts w:ascii="Proxima Nova" w:eastAsia="Times New Roman" w:hAnsi="Proxima Nova" w:cs="Times New Roman"/>
          <w:lang w:eastAsia="en-GB"/>
        </w:rPr>
      </w:pPr>
      <w:r w:rsidRPr="00B256A1">
        <w:rPr>
          <w:rFonts w:ascii="Proxima Nova" w:eastAsia="Times New Roman" w:hAnsi="Proxima Nova" w:cs="Times New Roman"/>
          <w:lang w:eastAsia="en-GB"/>
        </w:rPr>
        <w:t>• Do not meet ILG booking procedures</w:t>
      </w:r>
      <w:r w:rsidRPr="00B256A1">
        <w:rPr>
          <w:rFonts w:ascii="Proxima Nova" w:eastAsia="Times New Roman" w:hAnsi="Proxima Nova" w:cs="Times New Roman"/>
          <w:lang w:eastAsia="en-GB"/>
        </w:rPr>
        <w:br/>
        <w:t>• Do not meet pallet or packaging standards</w:t>
      </w:r>
      <w:r w:rsidRPr="00B256A1">
        <w:rPr>
          <w:rFonts w:ascii="Proxima Nova" w:eastAsia="Times New Roman" w:hAnsi="Proxima Nova" w:cs="Times New Roman"/>
          <w:lang w:eastAsia="en-GB"/>
        </w:rPr>
        <w:br/>
        <w:t>• Require additional inspection, handling, or rework</w:t>
      </w:r>
      <w:r w:rsidRPr="00B256A1">
        <w:rPr>
          <w:rFonts w:ascii="Proxima Nova" w:eastAsia="Times New Roman" w:hAnsi="Proxima Nova" w:cs="Times New Roman"/>
          <w:lang w:eastAsia="en-GB"/>
        </w:rPr>
        <w:br/>
        <w:t>• Cause operational disruption within the warehouse</w:t>
      </w:r>
    </w:p>
    <w:p w14:paraId="17428EC9" w14:textId="77777777" w:rsidR="00EC17C2" w:rsidRPr="00B256A1" w:rsidRDefault="00EC17C2" w:rsidP="00EC17C2">
      <w:pPr>
        <w:spacing w:before="100" w:beforeAutospacing="1" w:after="100" w:afterAutospacing="1"/>
        <w:rPr>
          <w:rFonts w:ascii="Proxima Nova" w:eastAsia="Times New Roman" w:hAnsi="Proxima Nova" w:cs="Times New Roman"/>
          <w:lang w:eastAsia="en-GB"/>
        </w:rPr>
      </w:pPr>
      <w:r w:rsidRPr="00B256A1">
        <w:rPr>
          <w:rFonts w:ascii="Proxima Nova" w:eastAsia="Times New Roman" w:hAnsi="Proxima Nova" w:cs="Times New Roman"/>
          <w:lang w:eastAsia="en-GB"/>
        </w:rPr>
        <w:t>Where multiple issues occur within a single delivery, more than one charge may apply.</w:t>
      </w:r>
    </w:p>
    <w:p w14:paraId="0B398A41" w14:textId="77777777" w:rsidR="001B2FFF" w:rsidRPr="00B256A1" w:rsidRDefault="001B2FFF" w:rsidP="00EC17C2">
      <w:pPr>
        <w:spacing w:before="100" w:beforeAutospacing="1" w:after="100" w:afterAutospacing="1"/>
        <w:outlineLvl w:val="0"/>
        <w:rPr>
          <w:rFonts w:ascii="Proxima Nova" w:eastAsia="Times New Roman" w:hAnsi="Proxima Nova" w:cs="Times New Roman"/>
          <w:b/>
          <w:bCs/>
          <w:kern w:val="36"/>
          <w:lang w:eastAsia="en-GB"/>
        </w:rPr>
      </w:pPr>
    </w:p>
    <w:p w14:paraId="68260861" w14:textId="77777777" w:rsidR="00B256A1" w:rsidRPr="00B256A1" w:rsidRDefault="00B256A1" w:rsidP="00EC17C2">
      <w:pPr>
        <w:spacing w:before="100" w:beforeAutospacing="1" w:after="100" w:afterAutospacing="1"/>
        <w:outlineLvl w:val="0"/>
        <w:rPr>
          <w:rFonts w:ascii="Proxima Nova" w:eastAsia="Times New Roman" w:hAnsi="Proxima Nova" w:cs="Times New Roman"/>
          <w:b/>
          <w:bCs/>
          <w:kern w:val="36"/>
          <w:lang w:eastAsia="en-GB"/>
        </w:rPr>
      </w:pPr>
    </w:p>
    <w:p w14:paraId="6F6C8484" w14:textId="1A1D111B" w:rsidR="00EC17C2" w:rsidRPr="00B256A1" w:rsidRDefault="00EC17C2" w:rsidP="00EC17C2">
      <w:pPr>
        <w:spacing w:before="100" w:beforeAutospacing="1" w:after="100" w:afterAutospacing="1"/>
        <w:outlineLvl w:val="0"/>
        <w:rPr>
          <w:rFonts w:ascii="Proxima Nova" w:eastAsia="Times New Roman" w:hAnsi="Proxima Nova" w:cs="Times New Roman"/>
          <w:b/>
          <w:bCs/>
          <w:kern w:val="36"/>
          <w:lang w:eastAsia="en-GB"/>
        </w:rPr>
      </w:pPr>
      <w:r w:rsidRPr="00B256A1">
        <w:rPr>
          <w:rFonts w:ascii="Proxima Nova" w:eastAsia="Times New Roman" w:hAnsi="Proxima Nova" w:cs="Times New Roman"/>
          <w:b/>
          <w:bCs/>
          <w:kern w:val="36"/>
          <w:lang w:eastAsia="en-GB"/>
        </w:rPr>
        <w:lastRenderedPageBreak/>
        <w:t>7. Reasonable Application</w:t>
      </w:r>
    </w:p>
    <w:p w14:paraId="3124B171" w14:textId="77777777" w:rsidR="00EC17C2" w:rsidRPr="00B256A1" w:rsidRDefault="00EC17C2" w:rsidP="00EC17C2">
      <w:pPr>
        <w:spacing w:before="100" w:beforeAutospacing="1" w:after="100" w:afterAutospacing="1"/>
        <w:rPr>
          <w:rFonts w:ascii="Proxima Nova" w:eastAsia="Times New Roman" w:hAnsi="Proxima Nova" w:cs="Times New Roman"/>
          <w:lang w:eastAsia="en-GB"/>
        </w:rPr>
      </w:pPr>
      <w:r w:rsidRPr="00B256A1">
        <w:rPr>
          <w:rFonts w:ascii="Proxima Nova" w:eastAsia="Times New Roman" w:hAnsi="Proxima Nova" w:cs="Times New Roman"/>
          <w:lang w:eastAsia="en-GB"/>
        </w:rPr>
        <w:t>ILG applies charges using a framework of reasonable application.</w:t>
      </w:r>
    </w:p>
    <w:p w14:paraId="67B80EB2" w14:textId="77777777" w:rsidR="00EC17C2" w:rsidRPr="00B256A1" w:rsidRDefault="00EC17C2" w:rsidP="00EC17C2">
      <w:pPr>
        <w:spacing w:before="100" w:beforeAutospacing="1" w:after="100" w:afterAutospacing="1"/>
        <w:rPr>
          <w:rFonts w:ascii="Proxima Nova" w:eastAsia="Times New Roman" w:hAnsi="Proxima Nova" w:cs="Times New Roman"/>
          <w:lang w:eastAsia="en-GB"/>
        </w:rPr>
      </w:pPr>
      <w:r w:rsidRPr="00B256A1">
        <w:rPr>
          <w:rFonts w:ascii="Proxima Nova" w:eastAsia="Times New Roman" w:hAnsi="Proxima Nova" w:cs="Times New Roman"/>
          <w:lang w:eastAsia="en-GB"/>
        </w:rPr>
        <w:t>Where delivery issues occur due to circumstances outside the control of the supplier or client, ILG may review the situation before applying charges.</w:t>
      </w:r>
    </w:p>
    <w:p w14:paraId="1B18A9EB" w14:textId="77777777" w:rsidR="00EC17C2" w:rsidRPr="00B256A1" w:rsidRDefault="00EC17C2" w:rsidP="00EC17C2">
      <w:pPr>
        <w:spacing w:before="100" w:beforeAutospacing="1" w:after="100" w:afterAutospacing="1"/>
        <w:rPr>
          <w:rFonts w:ascii="Proxima Nova" w:eastAsia="Times New Roman" w:hAnsi="Proxima Nova" w:cs="Times New Roman"/>
          <w:lang w:eastAsia="en-GB"/>
        </w:rPr>
      </w:pPr>
      <w:r w:rsidRPr="00B256A1">
        <w:rPr>
          <w:rFonts w:ascii="Proxima Nova" w:eastAsia="Times New Roman" w:hAnsi="Proxima Nova" w:cs="Times New Roman"/>
          <w:lang w:eastAsia="en-GB"/>
        </w:rPr>
        <w:t>Examples may include:</w:t>
      </w:r>
    </w:p>
    <w:p w14:paraId="1C3B5B63" w14:textId="77777777" w:rsidR="00EC17C2" w:rsidRPr="00B256A1" w:rsidRDefault="00EC17C2" w:rsidP="00EC17C2">
      <w:pPr>
        <w:spacing w:before="100" w:beforeAutospacing="1" w:after="100" w:afterAutospacing="1"/>
        <w:rPr>
          <w:rFonts w:ascii="Proxima Nova" w:eastAsia="Times New Roman" w:hAnsi="Proxima Nova" w:cs="Times New Roman"/>
          <w:lang w:eastAsia="en-GB"/>
        </w:rPr>
      </w:pPr>
      <w:r w:rsidRPr="00B256A1">
        <w:rPr>
          <w:rFonts w:ascii="Proxima Nova" w:eastAsia="Times New Roman" w:hAnsi="Proxima Nova" w:cs="Times New Roman"/>
          <w:lang w:eastAsia="en-GB"/>
        </w:rPr>
        <w:t>• Customs or HMRC delays</w:t>
      </w:r>
      <w:r w:rsidRPr="00B256A1">
        <w:rPr>
          <w:rFonts w:ascii="Proxima Nova" w:eastAsia="Times New Roman" w:hAnsi="Proxima Nova" w:cs="Times New Roman"/>
          <w:lang w:eastAsia="en-GB"/>
        </w:rPr>
        <w:br/>
        <w:t>• Severe weather conditions</w:t>
      </w:r>
      <w:r w:rsidRPr="00B256A1">
        <w:rPr>
          <w:rFonts w:ascii="Proxima Nova" w:eastAsia="Times New Roman" w:hAnsi="Proxima Nova" w:cs="Times New Roman"/>
          <w:lang w:eastAsia="en-GB"/>
        </w:rPr>
        <w:br/>
        <w:t>• Road closures or transport incidents</w:t>
      </w:r>
      <w:r w:rsidRPr="00B256A1">
        <w:rPr>
          <w:rFonts w:ascii="Proxima Nova" w:eastAsia="Times New Roman" w:hAnsi="Proxima Nova" w:cs="Times New Roman"/>
          <w:lang w:eastAsia="en-GB"/>
        </w:rPr>
        <w:br/>
        <w:t>• Port or shipping disruptions</w:t>
      </w:r>
    </w:p>
    <w:p w14:paraId="2C2DB597" w14:textId="77777777" w:rsidR="00EC17C2" w:rsidRPr="00B256A1" w:rsidRDefault="00EC17C2" w:rsidP="00EC17C2">
      <w:pPr>
        <w:spacing w:before="100" w:beforeAutospacing="1" w:after="100" w:afterAutospacing="1"/>
        <w:outlineLvl w:val="0"/>
        <w:rPr>
          <w:rFonts w:ascii="Proxima Nova" w:eastAsia="Times New Roman" w:hAnsi="Proxima Nova" w:cs="Times New Roman"/>
          <w:b/>
          <w:bCs/>
          <w:kern w:val="36"/>
          <w:lang w:eastAsia="en-GB"/>
        </w:rPr>
      </w:pPr>
      <w:r w:rsidRPr="00B256A1">
        <w:rPr>
          <w:rFonts w:ascii="Proxima Nova" w:eastAsia="Times New Roman" w:hAnsi="Proxima Nova" w:cs="Times New Roman"/>
          <w:b/>
          <w:bCs/>
          <w:kern w:val="36"/>
          <w:lang w:eastAsia="en-GB"/>
        </w:rPr>
        <w:t>8. Invoicing</w:t>
      </w:r>
    </w:p>
    <w:p w14:paraId="709C266A" w14:textId="77777777" w:rsidR="00EC17C2" w:rsidRPr="00B256A1" w:rsidRDefault="00EC17C2" w:rsidP="00EC17C2">
      <w:pPr>
        <w:spacing w:before="100" w:beforeAutospacing="1" w:after="100" w:afterAutospacing="1"/>
        <w:rPr>
          <w:rFonts w:ascii="Proxima Nova" w:eastAsia="Times New Roman" w:hAnsi="Proxima Nova" w:cs="Times New Roman"/>
          <w:lang w:eastAsia="en-GB"/>
        </w:rPr>
      </w:pPr>
      <w:r w:rsidRPr="00B256A1">
        <w:rPr>
          <w:rFonts w:ascii="Proxima Nova" w:eastAsia="Times New Roman" w:hAnsi="Proxima Nova" w:cs="Times New Roman"/>
          <w:lang w:eastAsia="en-GB"/>
        </w:rPr>
        <w:t>All non-compliance charges will be invoiced directly to the ILG client in line with agreed commercial terms.</w:t>
      </w:r>
    </w:p>
    <w:p w14:paraId="317A9211" w14:textId="77777777" w:rsidR="00EC17C2" w:rsidRPr="00B256A1" w:rsidRDefault="00EC17C2" w:rsidP="00EC17C2">
      <w:pPr>
        <w:spacing w:before="100" w:beforeAutospacing="1" w:after="100" w:afterAutospacing="1"/>
        <w:rPr>
          <w:rFonts w:ascii="Proxima Nova" w:eastAsia="Times New Roman" w:hAnsi="Proxima Nova" w:cs="Times New Roman"/>
          <w:lang w:eastAsia="en-GB"/>
        </w:rPr>
      </w:pPr>
      <w:r w:rsidRPr="00B256A1">
        <w:rPr>
          <w:rFonts w:ascii="Proxima Nova" w:eastAsia="Times New Roman" w:hAnsi="Proxima Nova" w:cs="Times New Roman"/>
          <w:lang w:eastAsia="en-GB"/>
        </w:rPr>
        <w:t>ILG does not invoice suppliers directly.</w:t>
      </w:r>
    </w:p>
    <w:p w14:paraId="01E749ED" w14:textId="67CB4ED2" w:rsidR="004F3697" w:rsidRPr="0089470E" w:rsidRDefault="00EC17C2" w:rsidP="0089470E">
      <w:pPr>
        <w:spacing w:before="100" w:beforeAutospacing="1" w:after="100" w:afterAutospacing="1"/>
        <w:rPr>
          <w:rFonts w:ascii="Proxima Nova" w:eastAsia="Times New Roman" w:hAnsi="Proxima Nova" w:cs="Times New Roman"/>
          <w:lang w:eastAsia="en-GB"/>
        </w:rPr>
      </w:pPr>
      <w:r w:rsidRPr="00B256A1">
        <w:rPr>
          <w:rFonts w:ascii="Proxima Nova" w:eastAsia="Times New Roman" w:hAnsi="Proxima Nova" w:cs="Times New Roman"/>
          <w:lang w:eastAsia="en-GB"/>
        </w:rPr>
        <w:t>Clients remain responsible for recovering any charges from their suppliers where appropriate.</w:t>
      </w:r>
    </w:p>
    <w:p w14:paraId="5B39DA78" w14:textId="77777777" w:rsidR="004F3697" w:rsidRDefault="004F3697" w:rsidP="005A1DDF">
      <w:pPr>
        <w:ind w:right="-57"/>
        <w:jc w:val="both"/>
        <w:rPr>
          <w:rFonts w:ascii="Arial" w:hAnsi="Arial"/>
          <w:sz w:val="20"/>
        </w:rPr>
      </w:pPr>
    </w:p>
    <w:p w14:paraId="09C7EB66" w14:textId="77777777" w:rsidR="004F3697" w:rsidRDefault="004F3697" w:rsidP="005A1DDF">
      <w:pPr>
        <w:ind w:right="-57"/>
        <w:jc w:val="both"/>
        <w:rPr>
          <w:rFonts w:ascii="Arial" w:hAnsi="Arial"/>
          <w:sz w:val="20"/>
        </w:rPr>
      </w:pPr>
    </w:p>
    <w:p w14:paraId="37E519AC" w14:textId="77777777" w:rsidR="004F3697" w:rsidRDefault="004F3697" w:rsidP="005A1DDF">
      <w:pPr>
        <w:ind w:right="-57"/>
        <w:jc w:val="both"/>
        <w:rPr>
          <w:rFonts w:ascii="Arial" w:hAnsi="Arial"/>
          <w:sz w:val="20"/>
        </w:rPr>
      </w:pPr>
    </w:p>
    <w:p w14:paraId="613FA26F" w14:textId="77777777" w:rsidR="004F3697" w:rsidRDefault="004F3697" w:rsidP="005A1DDF">
      <w:pPr>
        <w:ind w:right="-57"/>
        <w:jc w:val="both"/>
        <w:rPr>
          <w:rFonts w:ascii="Arial" w:hAnsi="Arial"/>
          <w:sz w:val="20"/>
        </w:rPr>
      </w:pPr>
    </w:p>
    <w:p w14:paraId="0C986EB4" w14:textId="77777777" w:rsidR="004F3697" w:rsidRDefault="004F3697" w:rsidP="005A1DDF">
      <w:pPr>
        <w:ind w:right="-57"/>
        <w:jc w:val="both"/>
        <w:rPr>
          <w:rFonts w:ascii="Arial" w:hAnsi="Arial"/>
          <w:sz w:val="20"/>
        </w:rPr>
      </w:pPr>
    </w:p>
    <w:p w14:paraId="5C73DFC4" w14:textId="77777777" w:rsidR="004F3697" w:rsidRDefault="004F3697" w:rsidP="005A1DDF">
      <w:pPr>
        <w:ind w:right="-57"/>
        <w:jc w:val="both"/>
        <w:rPr>
          <w:rFonts w:ascii="Arial" w:hAnsi="Arial"/>
          <w:sz w:val="20"/>
        </w:rPr>
      </w:pPr>
    </w:p>
    <w:p w14:paraId="42D6F3E4" w14:textId="77777777" w:rsidR="004F3697" w:rsidRDefault="004F3697" w:rsidP="005A1DDF">
      <w:pPr>
        <w:ind w:right="-57"/>
        <w:jc w:val="both"/>
        <w:rPr>
          <w:rFonts w:ascii="Arial" w:hAnsi="Arial"/>
          <w:sz w:val="20"/>
        </w:rPr>
      </w:pPr>
    </w:p>
    <w:p w14:paraId="6E52388D" w14:textId="77777777" w:rsidR="004F3697" w:rsidRDefault="004F3697" w:rsidP="005A1DDF">
      <w:pPr>
        <w:ind w:right="-57"/>
        <w:jc w:val="both"/>
        <w:rPr>
          <w:rFonts w:ascii="Arial" w:hAnsi="Arial"/>
          <w:sz w:val="20"/>
        </w:rPr>
      </w:pPr>
    </w:p>
    <w:p w14:paraId="1E0D81DA" w14:textId="77777777" w:rsidR="004F3697" w:rsidRDefault="004F3697" w:rsidP="005A1DDF">
      <w:pPr>
        <w:ind w:right="-57"/>
        <w:jc w:val="both"/>
        <w:rPr>
          <w:rFonts w:ascii="Arial" w:hAnsi="Arial"/>
          <w:sz w:val="20"/>
        </w:rPr>
      </w:pPr>
    </w:p>
    <w:p w14:paraId="084751D2" w14:textId="77777777" w:rsidR="004F3697" w:rsidRDefault="004F3697" w:rsidP="005A1DDF">
      <w:pPr>
        <w:ind w:right="-57"/>
        <w:jc w:val="both"/>
        <w:rPr>
          <w:rFonts w:ascii="Arial" w:hAnsi="Arial"/>
          <w:sz w:val="20"/>
        </w:rPr>
      </w:pPr>
    </w:p>
    <w:p w14:paraId="1FE7776B" w14:textId="77777777" w:rsidR="004F3697" w:rsidRDefault="004F3697" w:rsidP="005A1DDF">
      <w:pPr>
        <w:ind w:right="-57"/>
        <w:jc w:val="both"/>
        <w:rPr>
          <w:rFonts w:ascii="Arial" w:hAnsi="Arial"/>
          <w:sz w:val="20"/>
        </w:rPr>
      </w:pPr>
    </w:p>
    <w:p w14:paraId="73D5A2CD" w14:textId="77777777" w:rsidR="004F3697" w:rsidRDefault="004F3697" w:rsidP="005A1DDF">
      <w:pPr>
        <w:ind w:right="-57"/>
        <w:jc w:val="both"/>
        <w:rPr>
          <w:rFonts w:ascii="Arial" w:hAnsi="Arial"/>
          <w:sz w:val="20"/>
        </w:rPr>
      </w:pPr>
    </w:p>
    <w:p w14:paraId="7C509AF9" w14:textId="77777777" w:rsidR="004F3697" w:rsidRDefault="004F3697" w:rsidP="005A1DDF">
      <w:pPr>
        <w:ind w:right="-57"/>
        <w:jc w:val="both"/>
        <w:rPr>
          <w:rFonts w:ascii="Arial" w:hAnsi="Arial"/>
          <w:sz w:val="20"/>
        </w:rPr>
      </w:pPr>
    </w:p>
    <w:p w14:paraId="78143608" w14:textId="77777777" w:rsidR="004F3697" w:rsidRDefault="004F3697" w:rsidP="005A1DDF">
      <w:pPr>
        <w:ind w:right="-57"/>
        <w:jc w:val="both"/>
        <w:rPr>
          <w:rFonts w:ascii="Arial" w:hAnsi="Arial"/>
          <w:sz w:val="20"/>
        </w:rPr>
      </w:pPr>
    </w:p>
    <w:p w14:paraId="06F2A33B" w14:textId="77777777" w:rsidR="004F3697" w:rsidRDefault="004F3697" w:rsidP="005A1DDF">
      <w:pPr>
        <w:ind w:right="-57"/>
        <w:jc w:val="both"/>
        <w:rPr>
          <w:rFonts w:ascii="Arial" w:hAnsi="Arial"/>
          <w:sz w:val="20"/>
        </w:rPr>
      </w:pPr>
    </w:p>
    <w:p w14:paraId="5B34D856" w14:textId="77777777" w:rsidR="004F3697" w:rsidRDefault="004F3697" w:rsidP="005A1DDF">
      <w:pPr>
        <w:ind w:right="-57"/>
        <w:jc w:val="both"/>
        <w:rPr>
          <w:rFonts w:ascii="Arial" w:hAnsi="Arial"/>
          <w:sz w:val="20"/>
        </w:rPr>
      </w:pPr>
    </w:p>
    <w:p w14:paraId="10D9F0DC" w14:textId="77777777" w:rsidR="004F3697" w:rsidRDefault="004F3697" w:rsidP="005A1DDF">
      <w:pPr>
        <w:ind w:right="-57"/>
        <w:jc w:val="both"/>
        <w:rPr>
          <w:rFonts w:ascii="Arial" w:hAnsi="Arial"/>
          <w:sz w:val="20"/>
        </w:rPr>
      </w:pPr>
    </w:p>
    <w:p w14:paraId="74AD3ADA" w14:textId="77777777" w:rsidR="004F3697" w:rsidRDefault="004F3697" w:rsidP="005A1DDF">
      <w:pPr>
        <w:ind w:right="-57"/>
        <w:jc w:val="both"/>
        <w:rPr>
          <w:rFonts w:ascii="Arial" w:hAnsi="Arial"/>
          <w:sz w:val="20"/>
        </w:rPr>
      </w:pPr>
    </w:p>
    <w:p w14:paraId="05D03BEA" w14:textId="77777777" w:rsidR="004F3697" w:rsidRDefault="004F3697" w:rsidP="005A1DDF">
      <w:pPr>
        <w:ind w:right="-57"/>
        <w:jc w:val="both"/>
        <w:rPr>
          <w:rFonts w:ascii="Arial" w:hAnsi="Arial"/>
          <w:sz w:val="20"/>
        </w:rPr>
      </w:pPr>
    </w:p>
    <w:p w14:paraId="640F08AC" w14:textId="77777777" w:rsidR="004F3697" w:rsidRDefault="004F3697" w:rsidP="005A1DDF">
      <w:pPr>
        <w:ind w:right="-57"/>
        <w:jc w:val="both"/>
        <w:rPr>
          <w:rFonts w:ascii="Arial" w:hAnsi="Arial"/>
          <w:sz w:val="20"/>
        </w:rPr>
      </w:pPr>
    </w:p>
    <w:p w14:paraId="592E54EE" w14:textId="77777777" w:rsidR="004F3697" w:rsidRDefault="004F3697" w:rsidP="005A1DDF">
      <w:pPr>
        <w:ind w:right="-57"/>
        <w:jc w:val="both"/>
        <w:rPr>
          <w:rFonts w:ascii="Arial" w:hAnsi="Arial"/>
          <w:sz w:val="20"/>
        </w:rPr>
      </w:pPr>
    </w:p>
    <w:p w14:paraId="1501E028" w14:textId="77777777" w:rsidR="004F3697" w:rsidRDefault="004F3697" w:rsidP="005A1DDF">
      <w:pPr>
        <w:ind w:right="-57"/>
        <w:jc w:val="both"/>
        <w:rPr>
          <w:rFonts w:ascii="Arial" w:hAnsi="Arial"/>
          <w:sz w:val="20"/>
        </w:rPr>
      </w:pPr>
    </w:p>
    <w:p w14:paraId="389E0294" w14:textId="77777777" w:rsidR="004F3697" w:rsidRDefault="004F3697" w:rsidP="005A1DDF">
      <w:pPr>
        <w:ind w:right="-57"/>
        <w:jc w:val="both"/>
        <w:rPr>
          <w:rFonts w:ascii="Arial" w:hAnsi="Arial"/>
          <w:sz w:val="20"/>
        </w:rPr>
      </w:pPr>
    </w:p>
    <w:p w14:paraId="44543EC4" w14:textId="77777777" w:rsidR="004F3697" w:rsidRDefault="004F3697" w:rsidP="005A1DDF">
      <w:pPr>
        <w:ind w:right="-57"/>
        <w:jc w:val="both"/>
        <w:rPr>
          <w:rFonts w:ascii="Arial" w:hAnsi="Arial"/>
          <w:sz w:val="20"/>
        </w:rPr>
      </w:pPr>
    </w:p>
    <w:p w14:paraId="21217285" w14:textId="77777777" w:rsidR="004F3697" w:rsidRDefault="004F3697" w:rsidP="005A1DDF">
      <w:pPr>
        <w:ind w:right="-57"/>
        <w:jc w:val="both"/>
        <w:rPr>
          <w:rFonts w:ascii="Arial" w:hAnsi="Arial"/>
          <w:sz w:val="20"/>
        </w:rPr>
      </w:pPr>
    </w:p>
    <w:sectPr w:rsidR="004F3697" w:rsidSect="0089631B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4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C2E5A" w14:textId="77777777" w:rsidR="00510D36" w:rsidRDefault="00510D36" w:rsidP="00697AEA">
      <w:r>
        <w:separator/>
      </w:r>
    </w:p>
  </w:endnote>
  <w:endnote w:type="continuationSeparator" w:id="0">
    <w:p w14:paraId="6A2C9A7C" w14:textId="77777777" w:rsidR="00510D36" w:rsidRDefault="00510D36" w:rsidP="00697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xima Nova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363396120"/>
      <w:docPartObj>
        <w:docPartGallery w:val="Page Numbers (Bottom of Page)"/>
        <w:docPartUnique/>
      </w:docPartObj>
    </w:sdtPr>
    <w:sdtContent>
      <w:p w14:paraId="591BFC0C" w14:textId="403ABE42" w:rsidR="0089631B" w:rsidRDefault="0089631B" w:rsidP="004C177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788B976" w14:textId="77777777" w:rsidR="0089631B" w:rsidRDefault="008963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79D5B" w14:textId="6A6E3A51" w:rsidR="00697AEA" w:rsidRPr="008179E4" w:rsidRDefault="002E42BC" w:rsidP="002E42BC">
    <w:pPr>
      <w:spacing w:before="142"/>
      <w:jc w:val="center"/>
      <w:rPr>
        <w:rFonts w:ascii="Proxima Nova" w:hAnsi="Proxima Nova"/>
        <w:w w:val="110"/>
        <w:sz w:val="18"/>
        <w:szCs w:val="18"/>
      </w:rPr>
    </w:pPr>
    <w:r>
      <w:rPr>
        <w:rFonts w:ascii="Proxima Nova" w:hAnsi="Proxima Nova"/>
        <w:noProof/>
        <w:color w:val="000000" w:themeColor="text1"/>
        <w:sz w:val="16"/>
      </w:rPr>
      <mc:AlternateContent>
        <mc:Choice Requires="wps">
          <w:drawing>
            <wp:anchor distT="0" distB="0" distL="114300" distR="114300" simplePos="0" relativeHeight="251663360" behindDoc="1" locked="0" layoutInCell="1" allowOverlap="0" wp14:anchorId="26D77062" wp14:editId="6F619451">
              <wp:simplePos x="0" y="0"/>
              <wp:positionH relativeFrom="column">
                <wp:posOffset>-939800</wp:posOffset>
              </wp:positionH>
              <wp:positionV relativeFrom="page">
                <wp:posOffset>10071100</wp:posOffset>
              </wp:positionV>
              <wp:extent cx="7588250" cy="905510"/>
              <wp:effectExtent l="0" t="0" r="635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88250" cy="905510"/>
                      </a:xfrm>
                      <a:prstGeom prst="rect">
                        <a:avLst/>
                      </a:prstGeom>
                      <a:solidFill>
                        <a:srgbClr val="98D9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DC6C62F" id="Rectangle 5" o:spid="_x0000_s1026" style="position:absolute;margin-left:-74pt;margin-top:793pt;width:597.5pt;height:71.3pt;z-index:-2516531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" o:allowoverlap="f" fillcolor="#98d9ff" stroked="f" strokeweight="1pt">
              <w10:wrap anchory="page"/>
            </v:rect>
          </w:pict>
        </mc:Fallback>
      </mc:AlternateContent>
    </w:r>
    <w:hyperlink r:id="rId1" w:history="1">
      <w:r w:rsidR="00B45775" w:rsidRPr="008179E4">
        <w:rPr>
          <w:rStyle w:val="Hyperlink"/>
          <w:rFonts w:cstheme="minorHAnsi"/>
          <w:b/>
          <w:bCs/>
          <w:color w:val="auto"/>
          <w:w w:val="112"/>
          <w:sz w:val="18"/>
          <w:szCs w:val="18"/>
          <w:u w:val="none"/>
        </w:rPr>
        <w:t>international-logistics-group</w:t>
      </w:r>
      <w:r w:rsidRPr="008179E4">
        <w:rPr>
          <w:rStyle w:val="Hyperlink"/>
          <w:rFonts w:cstheme="minorHAnsi"/>
          <w:b/>
          <w:bCs/>
          <w:color w:val="auto"/>
          <w:w w:val="112"/>
          <w:sz w:val="18"/>
          <w:szCs w:val="18"/>
          <w:u w:val="none"/>
        </w:rPr>
        <w:t>.</w:t>
      </w:r>
      <w:r w:rsidRPr="008179E4">
        <w:rPr>
          <w:rStyle w:val="Hyperlink"/>
          <w:rFonts w:cstheme="minorHAnsi"/>
          <w:b/>
          <w:bCs/>
          <w:color w:val="auto"/>
          <w:spacing w:val="-3"/>
          <w:w w:val="112"/>
          <w:sz w:val="18"/>
          <w:szCs w:val="18"/>
          <w:u w:val="none"/>
        </w:rPr>
        <w:t>c</w:t>
      </w:r>
      <w:r w:rsidRPr="008179E4">
        <w:rPr>
          <w:rStyle w:val="Hyperlink"/>
          <w:rFonts w:cstheme="minorHAnsi"/>
          <w:b/>
          <w:bCs/>
          <w:color w:val="auto"/>
          <w:w w:val="107"/>
          <w:sz w:val="18"/>
          <w:szCs w:val="18"/>
          <w:u w:val="none"/>
        </w:rPr>
        <w:t>o</w:t>
      </w:r>
      <w:r w:rsidR="008179E4" w:rsidRPr="008179E4">
        <w:rPr>
          <w:rStyle w:val="Hyperlink"/>
          <w:rFonts w:cstheme="minorHAnsi"/>
          <w:b/>
          <w:bCs/>
          <w:color w:val="auto"/>
          <w:w w:val="107"/>
          <w:sz w:val="18"/>
          <w:szCs w:val="18"/>
          <w:u w:val="none"/>
        </w:rPr>
        <w:t>m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78187" w14:textId="2327E92E" w:rsidR="002E42BC" w:rsidRDefault="002E42BC" w:rsidP="0089631B">
    <w:pPr>
      <w:spacing w:before="142"/>
      <w:rPr>
        <w:rFonts w:ascii="Proxima Nova" w:hAnsi="Proxima Nova"/>
        <w:color w:val="000000" w:themeColor="text1"/>
        <w:w w:val="110"/>
        <w:sz w:val="16"/>
      </w:rPr>
    </w:pPr>
  </w:p>
  <w:p w14:paraId="13418B21" w14:textId="4D2948F3" w:rsidR="0089631B" w:rsidRDefault="002E42BC" w:rsidP="0089631B">
    <w:pPr>
      <w:spacing w:before="142"/>
      <w:rPr>
        <w:rFonts w:ascii="Proxima Nova" w:hAnsi="Proxima Nova"/>
        <w:color w:val="000000" w:themeColor="text1"/>
        <w:w w:val="110"/>
        <w:sz w:val="16"/>
      </w:rPr>
    </w:pPr>
    <w:r>
      <w:rPr>
        <w:rFonts w:ascii="Proxima Nova" w:hAnsi="Proxima Nova"/>
        <w:noProof/>
        <w:color w:val="000000" w:themeColor="text1"/>
        <w:sz w:val="16"/>
      </w:rPr>
      <mc:AlternateContent>
        <mc:Choice Requires="wps">
          <w:drawing>
            <wp:anchor distT="0" distB="0" distL="114300" distR="114300" simplePos="0" relativeHeight="251661312" behindDoc="1" locked="0" layoutInCell="1" allowOverlap="0" wp14:anchorId="03E715B7" wp14:editId="0FEA5E73">
              <wp:simplePos x="0" y="0"/>
              <wp:positionH relativeFrom="column">
                <wp:posOffset>-952500</wp:posOffset>
              </wp:positionH>
              <wp:positionV relativeFrom="page">
                <wp:posOffset>9677400</wp:posOffset>
              </wp:positionV>
              <wp:extent cx="7588250" cy="1019810"/>
              <wp:effectExtent l="0" t="0" r="6350" b="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88250" cy="1019810"/>
                      </a:xfrm>
                      <a:prstGeom prst="rect">
                        <a:avLst/>
                      </a:prstGeom>
                      <a:solidFill>
                        <a:srgbClr val="98D9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F5E81D" id="Rectangle 4" o:spid="_x0000_s1026" style="position:absolute;margin-left:-75pt;margin-top:762pt;width:597.5pt;height:80.3pt;z-index:-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" o:allowoverlap="f" fillcolor="#98d9ff" stroked="f" strokeweight="1pt">
              <w10:wrap anchory="page"/>
            </v:rect>
          </w:pict>
        </mc:Fallback>
      </mc:AlternateContent>
    </w:r>
  </w:p>
  <w:p w14:paraId="54831A6C" w14:textId="77777777" w:rsidR="0089631B" w:rsidRDefault="0089631B" w:rsidP="0089631B">
    <w:pPr>
      <w:spacing w:before="142"/>
      <w:rPr>
        <w:rFonts w:ascii="Proxima Nova" w:hAnsi="Proxima Nova"/>
        <w:color w:val="000000" w:themeColor="text1"/>
        <w:w w:val="110"/>
        <w:sz w:val="16"/>
      </w:rPr>
    </w:pPr>
  </w:p>
  <w:p w14:paraId="51A59BF5" w14:textId="4881D25E" w:rsidR="0089631B" w:rsidRPr="00EC17C2" w:rsidRDefault="0089631B" w:rsidP="0089631B">
    <w:pPr>
      <w:spacing w:before="24"/>
      <w:jc w:val="center"/>
      <w:rPr>
        <w:rFonts w:eastAsia="Calibri" w:cstheme="minorHAnsi"/>
        <w:b/>
        <w:bCs/>
        <w:color w:val="000000" w:themeColor="text1"/>
        <w:sz w:val="18"/>
        <w:szCs w:val="18"/>
        <w:lang w:val="fr-FR"/>
      </w:rPr>
    </w:pPr>
    <w:r w:rsidRPr="00EC17C2">
      <w:rPr>
        <w:rFonts w:cstheme="minorHAnsi"/>
        <w:b/>
        <w:bCs/>
        <w:color w:val="000000" w:themeColor="text1"/>
        <w:w w:val="106"/>
        <w:sz w:val="18"/>
        <w:szCs w:val="18"/>
        <w:lang w:val="fr-FR"/>
      </w:rPr>
      <w:t>T:</w:t>
    </w:r>
    <w:r w:rsidRPr="00EC17C2">
      <w:rPr>
        <w:rFonts w:cstheme="minorHAnsi"/>
        <w:b/>
        <w:bCs/>
        <w:color w:val="000000" w:themeColor="text1"/>
        <w:spacing w:val="3"/>
        <w:sz w:val="18"/>
        <w:szCs w:val="18"/>
        <w:lang w:val="fr-FR"/>
      </w:rPr>
      <w:t xml:space="preserve"> </w:t>
    </w:r>
    <w:r w:rsidRPr="00EC17C2">
      <w:rPr>
        <w:rFonts w:cstheme="minorHAnsi"/>
        <w:b/>
        <w:bCs/>
        <w:color w:val="000000" w:themeColor="text1"/>
        <w:w w:val="119"/>
        <w:sz w:val="18"/>
        <w:szCs w:val="18"/>
        <w:lang w:val="fr-FR"/>
      </w:rPr>
      <w:t>+44</w:t>
    </w:r>
    <w:r w:rsidRPr="00EC17C2">
      <w:rPr>
        <w:rFonts w:cstheme="minorHAnsi"/>
        <w:b/>
        <w:bCs/>
        <w:color w:val="000000" w:themeColor="text1"/>
        <w:spacing w:val="3"/>
        <w:sz w:val="18"/>
        <w:szCs w:val="18"/>
        <w:lang w:val="fr-FR"/>
      </w:rPr>
      <w:t xml:space="preserve"> </w:t>
    </w:r>
    <w:r w:rsidRPr="00EC17C2">
      <w:rPr>
        <w:rFonts w:cstheme="minorHAnsi"/>
        <w:b/>
        <w:bCs/>
        <w:color w:val="000000" w:themeColor="text1"/>
        <w:w w:val="113"/>
        <w:sz w:val="18"/>
        <w:szCs w:val="18"/>
        <w:lang w:val="fr-FR"/>
      </w:rPr>
      <w:t>(0)844</w:t>
    </w:r>
    <w:r w:rsidRPr="00EC17C2">
      <w:rPr>
        <w:rFonts w:cstheme="minorHAnsi"/>
        <w:b/>
        <w:bCs/>
        <w:color w:val="000000" w:themeColor="text1"/>
        <w:spacing w:val="3"/>
        <w:sz w:val="18"/>
        <w:szCs w:val="18"/>
        <w:lang w:val="fr-FR"/>
      </w:rPr>
      <w:t xml:space="preserve"> 264 8000</w:t>
    </w:r>
    <w:r w:rsidR="00625171" w:rsidRPr="00EC17C2">
      <w:rPr>
        <w:rFonts w:cstheme="minorHAnsi"/>
        <w:b/>
        <w:bCs/>
        <w:color w:val="000000" w:themeColor="text1"/>
        <w:sz w:val="18"/>
        <w:szCs w:val="18"/>
        <w:lang w:val="fr-FR"/>
      </w:rPr>
      <w:t xml:space="preserve">   |   </w:t>
    </w:r>
    <w:hyperlink r:id="rId1">
      <w:r w:rsidRPr="00EC17C2">
        <w:rPr>
          <w:rFonts w:cstheme="minorHAnsi"/>
          <w:b/>
          <w:bCs/>
          <w:color w:val="000000" w:themeColor="text1"/>
          <w:w w:val="116"/>
          <w:sz w:val="18"/>
          <w:szCs w:val="18"/>
          <w:lang w:val="fr-FR"/>
        </w:rPr>
        <w:t>in</w:t>
      </w:r>
      <w:r w:rsidRPr="00EC17C2">
        <w:rPr>
          <w:rFonts w:cstheme="minorHAnsi"/>
          <w:b/>
          <w:bCs/>
          <w:color w:val="000000" w:themeColor="text1"/>
          <w:spacing w:val="-4"/>
          <w:w w:val="116"/>
          <w:sz w:val="18"/>
          <w:szCs w:val="18"/>
          <w:lang w:val="fr-FR"/>
        </w:rPr>
        <w:t>f</w:t>
      </w:r>
      <w:r w:rsidRPr="00EC17C2">
        <w:rPr>
          <w:rFonts w:cstheme="minorHAnsi"/>
          <w:b/>
          <w:bCs/>
          <w:color w:val="000000" w:themeColor="text1"/>
          <w:w w:val="113"/>
          <w:sz w:val="18"/>
          <w:szCs w:val="18"/>
          <w:lang w:val="fr-FR"/>
        </w:rPr>
        <w:t>o@ilguk.</w:t>
      </w:r>
      <w:r w:rsidRPr="00EC17C2">
        <w:rPr>
          <w:rFonts w:cstheme="minorHAnsi"/>
          <w:b/>
          <w:bCs/>
          <w:color w:val="000000" w:themeColor="text1"/>
          <w:spacing w:val="-3"/>
          <w:w w:val="113"/>
          <w:sz w:val="18"/>
          <w:szCs w:val="18"/>
          <w:lang w:val="fr-FR"/>
        </w:rPr>
        <w:t>c</w:t>
      </w:r>
      <w:r w:rsidRPr="00EC17C2">
        <w:rPr>
          <w:rFonts w:cstheme="minorHAnsi"/>
          <w:b/>
          <w:bCs/>
          <w:color w:val="000000" w:themeColor="text1"/>
          <w:w w:val="107"/>
          <w:sz w:val="18"/>
          <w:szCs w:val="18"/>
          <w:lang w:val="fr-FR"/>
        </w:rPr>
        <w:t>om</w:t>
      </w:r>
    </w:hyperlink>
    <w:r w:rsidR="00625171" w:rsidRPr="00EC17C2">
      <w:rPr>
        <w:rFonts w:cstheme="minorHAnsi"/>
        <w:b/>
        <w:bCs/>
        <w:color w:val="000000" w:themeColor="text1"/>
        <w:sz w:val="18"/>
        <w:szCs w:val="18"/>
        <w:lang w:val="fr-FR"/>
      </w:rPr>
      <w:t xml:space="preserve">   |   </w:t>
    </w:r>
    <w:hyperlink r:id="rId2">
      <w:r w:rsidR="00B45775" w:rsidRPr="00EC17C2">
        <w:rPr>
          <w:rFonts w:cstheme="minorHAnsi"/>
          <w:b/>
          <w:bCs/>
          <w:color w:val="000000" w:themeColor="text1"/>
          <w:w w:val="112"/>
          <w:sz w:val="18"/>
          <w:szCs w:val="18"/>
          <w:lang w:val="fr-FR"/>
        </w:rPr>
        <w:t>international-logistics-group</w:t>
      </w:r>
      <w:r w:rsidRPr="00EC17C2">
        <w:rPr>
          <w:rFonts w:cstheme="minorHAnsi"/>
          <w:b/>
          <w:bCs/>
          <w:color w:val="000000" w:themeColor="text1"/>
          <w:w w:val="112"/>
          <w:sz w:val="18"/>
          <w:szCs w:val="18"/>
          <w:lang w:val="fr-FR"/>
        </w:rPr>
        <w:t>.</w:t>
      </w:r>
      <w:r w:rsidRPr="00EC17C2">
        <w:rPr>
          <w:rFonts w:cstheme="minorHAnsi"/>
          <w:b/>
          <w:bCs/>
          <w:color w:val="000000" w:themeColor="text1"/>
          <w:spacing w:val="-3"/>
          <w:w w:val="112"/>
          <w:sz w:val="18"/>
          <w:szCs w:val="18"/>
          <w:lang w:val="fr-FR"/>
        </w:rPr>
        <w:t>c</w:t>
      </w:r>
      <w:r w:rsidRPr="00EC17C2">
        <w:rPr>
          <w:rFonts w:cstheme="minorHAnsi"/>
          <w:b/>
          <w:bCs/>
          <w:color w:val="000000" w:themeColor="text1"/>
          <w:w w:val="107"/>
          <w:sz w:val="18"/>
          <w:szCs w:val="18"/>
          <w:lang w:val="fr-FR"/>
        </w:rPr>
        <w:t>om</w:t>
      </w:r>
    </w:hyperlink>
    <w:r w:rsidR="00B45775" w:rsidRPr="00EC17C2">
      <w:rPr>
        <w:rFonts w:cstheme="minorHAnsi"/>
        <w:b/>
        <w:bCs/>
        <w:color w:val="000000" w:themeColor="text1"/>
        <w:w w:val="107"/>
        <w:sz w:val="18"/>
        <w:szCs w:val="18"/>
        <w:lang w:val="fr-FR"/>
      </w:rPr>
      <w:t xml:space="preserve"> </w:t>
    </w:r>
  </w:p>
  <w:p w14:paraId="595CEEC1" w14:textId="43383D5C" w:rsidR="0089631B" w:rsidRPr="00EC17C2" w:rsidRDefault="0089631B" w:rsidP="0089631B">
    <w:pPr>
      <w:spacing w:before="9"/>
      <w:jc w:val="center"/>
      <w:rPr>
        <w:rFonts w:eastAsia="Times New Roman" w:cstheme="minorHAnsi"/>
        <w:color w:val="000000" w:themeColor="text1"/>
        <w:sz w:val="15"/>
        <w:szCs w:val="15"/>
        <w:lang w:val="fr-FR"/>
      </w:rPr>
    </w:pPr>
  </w:p>
  <w:p w14:paraId="0187037F" w14:textId="170D9304" w:rsidR="0089631B" w:rsidRPr="003B6CC0" w:rsidRDefault="0089631B" w:rsidP="003B6CC0">
    <w:pPr>
      <w:jc w:val="center"/>
      <w:rPr>
        <w:rFonts w:cstheme="minorHAnsi"/>
        <w:color w:val="000000" w:themeColor="text1"/>
        <w:spacing w:val="3"/>
        <w:sz w:val="15"/>
        <w:szCs w:val="15"/>
      </w:rPr>
    </w:pPr>
    <w:r w:rsidRPr="002E42BC">
      <w:rPr>
        <w:rFonts w:cstheme="minorHAnsi"/>
        <w:color w:val="000000" w:themeColor="text1"/>
        <w:spacing w:val="-2"/>
        <w:w w:val="109"/>
        <w:sz w:val="15"/>
        <w:szCs w:val="15"/>
      </w:rPr>
      <w:t>R</w:t>
    </w:r>
    <w:r w:rsidRPr="002E42BC">
      <w:rPr>
        <w:rFonts w:cstheme="minorHAnsi"/>
        <w:color w:val="000000" w:themeColor="text1"/>
        <w:spacing w:val="-1"/>
        <w:w w:val="111"/>
        <w:sz w:val="15"/>
        <w:szCs w:val="15"/>
      </w:rPr>
      <w:t>e</w:t>
    </w:r>
    <w:r w:rsidRPr="002E42BC">
      <w:rPr>
        <w:rFonts w:cstheme="minorHAnsi"/>
        <w:color w:val="000000" w:themeColor="text1"/>
        <w:w w:val="113"/>
        <w:sz w:val="15"/>
        <w:szCs w:val="15"/>
      </w:rPr>
      <w:t>giste</w:t>
    </w:r>
    <w:r w:rsidRPr="002E42BC">
      <w:rPr>
        <w:rFonts w:cstheme="minorHAnsi"/>
        <w:color w:val="000000" w:themeColor="text1"/>
        <w:spacing w:val="-2"/>
        <w:w w:val="113"/>
        <w:sz w:val="15"/>
        <w:szCs w:val="15"/>
      </w:rPr>
      <w:t>r</w:t>
    </w:r>
    <w:r w:rsidRPr="002E42BC">
      <w:rPr>
        <w:rFonts w:cstheme="minorHAnsi"/>
        <w:color w:val="000000" w:themeColor="text1"/>
        <w:w w:val="111"/>
        <w:sz w:val="15"/>
        <w:szCs w:val="15"/>
      </w:rPr>
      <w:t>ed</w:t>
    </w:r>
    <w:r w:rsidRPr="002E42BC">
      <w:rPr>
        <w:rFonts w:cstheme="minorHAnsi"/>
        <w:color w:val="000000" w:themeColor="text1"/>
        <w:spacing w:val="1"/>
        <w:sz w:val="15"/>
        <w:szCs w:val="15"/>
      </w:rPr>
      <w:t xml:space="preserve"> </w:t>
    </w:r>
    <w:r w:rsidRPr="002E42BC">
      <w:rPr>
        <w:rFonts w:cstheme="minorHAnsi"/>
        <w:color w:val="000000" w:themeColor="text1"/>
        <w:spacing w:val="-1"/>
        <w:w w:val="109"/>
        <w:sz w:val="15"/>
        <w:szCs w:val="15"/>
      </w:rPr>
      <w:t>o</w:t>
    </w:r>
    <w:r w:rsidRPr="002E42BC">
      <w:rPr>
        <w:rFonts w:cstheme="minorHAnsi"/>
        <w:color w:val="000000" w:themeColor="text1"/>
        <w:w w:val="110"/>
        <w:sz w:val="15"/>
        <w:szCs w:val="15"/>
      </w:rPr>
      <w:t>ffi</w:t>
    </w:r>
    <w:r w:rsidRPr="002E42BC">
      <w:rPr>
        <w:rFonts w:cstheme="minorHAnsi"/>
        <w:color w:val="000000" w:themeColor="text1"/>
        <w:spacing w:val="-2"/>
        <w:w w:val="110"/>
        <w:sz w:val="15"/>
        <w:szCs w:val="15"/>
      </w:rPr>
      <w:t>c</w:t>
    </w:r>
    <w:r w:rsidRPr="002E42BC">
      <w:rPr>
        <w:rFonts w:cstheme="minorHAnsi"/>
        <w:color w:val="000000" w:themeColor="text1"/>
        <w:w w:val="104"/>
        <w:sz w:val="15"/>
        <w:szCs w:val="15"/>
      </w:rPr>
      <w:t>e:</w:t>
    </w:r>
    <w:r w:rsidRPr="002E42BC">
      <w:rPr>
        <w:rFonts w:cstheme="minorHAnsi"/>
        <w:color w:val="000000" w:themeColor="text1"/>
        <w:spacing w:val="3"/>
        <w:sz w:val="15"/>
        <w:szCs w:val="15"/>
      </w:rPr>
      <w:t xml:space="preserve"> </w:t>
    </w:r>
    <w:r w:rsidR="003B6CC0" w:rsidRPr="003B6CC0">
      <w:rPr>
        <w:rFonts w:cstheme="minorHAnsi"/>
        <w:color w:val="000000" w:themeColor="text1"/>
        <w:spacing w:val="3"/>
        <w:sz w:val="15"/>
        <w:szCs w:val="15"/>
      </w:rPr>
      <w:t>International Logistics Group Ltd. Logistics House, Unit A, Birches Industrial</w:t>
    </w:r>
    <w:r w:rsidR="003B6CC0">
      <w:rPr>
        <w:rFonts w:cstheme="minorHAnsi"/>
        <w:color w:val="000000" w:themeColor="text1"/>
        <w:spacing w:val="3"/>
        <w:sz w:val="15"/>
        <w:szCs w:val="15"/>
      </w:rPr>
      <w:t xml:space="preserve"> </w:t>
    </w:r>
    <w:r w:rsidR="003B6CC0" w:rsidRPr="003B6CC0">
      <w:rPr>
        <w:rFonts w:cstheme="minorHAnsi"/>
        <w:color w:val="000000" w:themeColor="text1"/>
        <w:spacing w:val="3"/>
        <w:sz w:val="15"/>
        <w:szCs w:val="15"/>
      </w:rPr>
      <w:t xml:space="preserve">Estate, </w:t>
    </w:r>
    <w:r w:rsidR="003B6CC0">
      <w:rPr>
        <w:rFonts w:cstheme="minorHAnsi"/>
        <w:color w:val="000000" w:themeColor="text1"/>
        <w:spacing w:val="3"/>
        <w:sz w:val="15"/>
        <w:szCs w:val="15"/>
      </w:rPr>
      <w:br/>
    </w:r>
    <w:r w:rsidR="003B6CC0" w:rsidRPr="003B6CC0">
      <w:rPr>
        <w:rFonts w:cstheme="minorHAnsi"/>
        <w:color w:val="000000" w:themeColor="text1"/>
        <w:spacing w:val="3"/>
        <w:sz w:val="15"/>
        <w:szCs w:val="15"/>
      </w:rPr>
      <w:t>East Grinstead, West Sussex RH19 1XZ,</w:t>
    </w:r>
    <w:r w:rsidR="003B6CC0">
      <w:rPr>
        <w:rFonts w:cstheme="minorHAnsi"/>
        <w:color w:val="000000" w:themeColor="text1"/>
        <w:spacing w:val="3"/>
        <w:sz w:val="15"/>
        <w:szCs w:val="15"/>
      </w:rPr>
      <w:t xml:space="preserve"> </w:t>
    </w:r>
    <w:r w:rsidR="003B6CC0" w:rsidRPr="003B6CC0">
      <w:rPr>
        <w:rFonts w:cstheme="minorHAnsi"/>
        <w:color w:val="000000" w:themeColor="text1"/>
        <w:spacing w:val="3"/>
        <w:sz w:val="15"/>
        <w:szCs w:val="15"/>
      </w:rPr>
      <w:t>UK</w:t>
    </w:r>
    <w:r w:rsidRPr="002E42BC">
      <w:rPr>
        <w:rFonts w:cstheme="minorHAnsi"/>
        <w:color w:val="000000" w:themeColor="text1"/>
        <w:spacing w:val="12"/>
        <w:sz w:val="15"/>
        <w:szCs w:val="15"/>
      </w:rPr>
      <w:br/>
    </w:r>
    <w:r w:rsidRPr="002E42BC">
      <w:rPr>
        <w:rFonts w:cstheme="minorHAnsi"/>
        <w:color w:val="000000" w:themeColor="text1"/>
        <w:spacing w:val="-2"/>
        <w:w w:val="109"/>
        <w:sz w:val="15"/>
        <w:szCs w:val="15"/>
      </w:rPr>
      <w:t>R</w:t>
    </w:r>
    <w:r w:rsidRPr="002E42BC">
      <w:rPr>
        <w:rFonts w:cstheme="minorHAnsi"/>
        <w:color w:val="000000" w:themeColor="text1"/>
        <w:spacing w:val="-1"/>
        <w:w w:val="111"/>
        <w:sz w:val="15"/>
        <w:szCs w:val="15"/>
      </w:rPr>
      <w:t>e</w:t>
    </w:r>
    <w:r w:rsidRPr="002E42BC">
      <w:rPr>
        <w:rFonts w:cstheme="minorHAnsi"/>
        <w:color w:val="000000" w:themeColor="text1"/>
        <w:w w:val="113"/>
        <w:sz w:val="15"/>
        <w:szCs w:val="15"/>
      </w:rPr>
      <w:t>giste</w:t>
    </w:r>
    <w:r w:rsidRPr="002E42BC">
      <w:rPr>
        <w:rFonts w:cstheme="minorHAnsi"/>
        <w:color w:val="000000" w:themeColor="text1"/>
        <w:spacing w:val="-2"/>
        <w:w w:val="113"/>
        <w:sz w:val="15"/>
        <w:szCs w:val="15"/>
      </w:rPr>
      <w:t>r</w:t>
    </w:r>
    <w:r w:rsidRPr="002E42BC">
      <w:rPr>
        <w:rFonts w:cstheme="minorHAnsi"/>
        <w:color w:val="000000" w:themeColor="text1"/>
        <w:w w:val="111"/>
        <w:sz w:val="15"/>
        <w:szCs w:val="15"/>
      </w:rPr>
      <w:t>ed</w:t>
    </w:r>
    <w:r w:rsidRPr="002E42BC">
      <w:rPr>
        <w:rFonts w:cstheme="minorHAnsi"/>
        <w:color w:val="000000" w:themeColor="text1"/>
        <w:spacing w:val="1"/>
        <w:sz w:val="15"/>
        <w:szCs w:val="15"/>
      </w:rPr>
      <w:t xml:space="preserve"> </w:t>
    </w:r>
    <w:r w:rsidRPr="002E42BC">
      <w:rPr>
        <w:rFonts w:cstheme="minorHAnsi"/>
        <w:color w:val="000000" w:themeColor="text1"/>
        <w:w w:val="114"/>
        <w:sz w:val="15"/>
        <w:szCs w:val="15"/>
      </w:rPr>
      <w:t>in</w:t>
    </w:r>
    <w:r w:rsidRPr="002E42BC">
      <w:rPr>
        <w:rFonts w:cstheme="minorHAnsi"/>
        <w:color w:val="000000" w:themeColor="text1"/>
        <w:spacing w:val="1"/>
        <w:sz w:val="15"/>
        <w:szCs w:val="15"/>
      </w:rPr>
      <w:t xml:space="preserve"> </w:t>
    </w:r>
    <w:r w:rsidRPr="002E42BC">
      <w:rPr>
        <w:rFonts w:cstheme="minorHAnsi"/>
        <w:color w:val="000000" w:themeColor="text1"/>
        <w:w w:val="112"/>
        <w:sz w:val="15"/>
        <w:szCs w:val="15"/>
      </w:rPr>
      <w:t>England</w:t>
    </w:r>
    <w:r w:rsidRPr="002E42BC">
      <w:rPr>
        <w:rFonts w:cstheme="minorHAnsi"/>
        <w:color w:val="000000" w:themeColor="text1"/>
        <w:spacing w:val="1"/>
        <w:sz w:val="15"/>
        <w:szCs w:val="15"/>
      </w:rPr>
      <w:t xml:space="preserve"> </w:t>
    </w:r>
    <w:r w:rsidRPr="002E42BC">
      <w:rPr>
        <w:rFonts w:cstheme="minorHAnsi"/>
        <w:color w:val="000000" w:themeColor="text1"/>
        <w:w w:val="107"/>
        <w:sz w:val="15"/>
        <w:szCs w:val="15"/>
      </w:rPr>
      <w:t>N</w:t>
    </w:r>
    <w:r w:rsidRPr="002E42BC">
      <w:rPr>
        <w:rFonts w:cstheme="minorHAnsi"/>
        <w:color w:val="000000" w:themeColor="text1"/>
        <w:spacing w:val="-1"/>
        <w:w w:val="107"/>
        <w:sz w:val="15"/>
        <w:szCs w:val="15"/>
      </w:rPr>
      <w:t>o</w:t>
    </w:r>
    <w:r w:rsidRPr="002E42BC">
      <w:rPr>
        <w:rFonts w:cstheme="minorHAnsi"/>
        <w:color w:val="000000" w:themeColor="text1"/>
        <w:w w:val="95"/>
        <w:sz w:val="15"/>
        <w:szCs w:val="15"/>
      </w:rPr>
      <w:t>.</w:t>
    </w:r>
    <w:r w:rsidRPr="002E42BC">
      <w:rPr>
        <w:rFonts w:cstheme="minorHAnsi"/>
        <w:color w:val="000000" w:themeColor="text1"/>
        <w:spacing w:val="1"/>
        <w:sz w:val="15"/>
        <w:szCs w:val="15"/>
      </w:rPr>
      <w:t xml:space="preserve"> </w:t>
    </w:r>
    <w:r w:rsidRPr="002E42BC">
      <w:rPr>
        <w:rFonts w:cstheme="minorHAnsi"/>
        <w:color w:val="000000" w:themeColor="text1"/>
        <w:w w:val="118"/>
        <w:sz w:val="15"/>
        <w:szCs w:val="15"/>
      </w:rPr>
      <w:t>3026592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50C75" w14:textId="77777777" w:rsidR="00510D36" w:rsidRDefault="00510D36" w:rsidP="00697AEA">
      <w:r>
        <w:separator/>
      </w:r>
    </w:p>
  </w:footnote>
  <w:footnote w:type="continuationSeparator" w:id="0">
    <w:p w14:paraId="3947E43D" w14:textId="77777777" w:rsidR="00510D36" w:rsidRDefault="00510D36" w:rsidP="00697A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A98A7" w14:textId="003364E8" w:rsidR="00697AEA" w:rsidRDefault="00697AEA" w:rsidP="00326595">
    <w:pPr>
      <w:pStyle w:val="Header"/>
    </w:pPr>
  </w:p>
  <w:p w14:paraId="24BE7EA1" w14:textId="3B0CA474" w:rsidR="00035813" w:rsidRDefault="00035813" w:rsidP="002E42BC">
    <w:pPr>
      <w:pStyle w:val="Header"/>
    </w:pPr>
  </w:p>
  <w:p w14:paraId="6F0DD84B" w14:textId="00044E08" w:rsidR="00035813" w:rsidRPr="00697AEA" w:rsidRDefault="00035813" w:rsidP="00697AEA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3A5F3" w14:textId="763BA1EB" w:rsidR="0089631B" w:rsidRDefault="0089631B" w:rsidP="00116BE8">
    <w:pPr>
      <w:pStyle w:val="Header"/>
      <w:ind w:hanging="709"/>
    </w:pPr>
    <w:r w:rsidRPr="00697AEA">
      <w:rPr>
        <w:noProof/>
      </w:rPr>
      <w:drawing>
        <wp:inline distT="0" distB="0" distL="0" distR="0" wp14:anchorId="2828886C" wp14:editId="70E592AB">
          <wp:extent cx="889996" cy="968188"/>
          <wp:effectExtent l="0" t="0" r="5715" b="3810"/>
          <wp:docPr id="1" name="Picture 1" descr="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5929" cy="9855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201F4B2" w14:textId="77777777" w:rsidR="0089631B" w:rsidRDefault="0089631B" w:rsidP="008963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A879F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58322249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AEA"/>
    <w:rsid w:val="00035813"/>
    <w:rsid w:val="00116BE8"/>
    <w:rsid w:val="00152D18"/>
    <w:rsid w:val="00160074"/>
    <w:rsid w:val="001A1146"/>
    <w:rsid w:val="001B2FFF"/>
    <w:rsid w:val="00212117"/>
    <w:rsid w:val="002B0119"/>
    <w:rsid w:val="002E42BC"/>
    <w:rsid w:val="00323906"/>
    <w:rsid w:val="00326595"/>
    <w:rsid w:val="003B6CC0"/>
    <w:rsid w:val="003D4AD6"/>
    <w:rsid w:val="003D7E2F"/>
    <w:rsid w:val="00422858"/>
    <w:rsid w:val="004F3697"/>
    <w:rsid w:val="004F6D58"/>
    <w:rsid w:val="00510D36"/>
    <w:rsid w:val="00570381"/>
    <w:rsid w:val="00586C2D"/>
    <w:rsid w:val="005A1DDF"/>
    <w:rsid w:val="00620828"/>
    <w:rsid w:val="00625171"/>
    <w:rsid w:val="00692DB0"/>
    <w:rsid w:val="00697AEA"/>
    <w:rsid w:val="006A1C71"/>
    <w:rsid w:val="0074041D"/>
    <w:rsid w:val="007935FF"/>
    <w:rsid w:val="007A59C8"/>
    <w:rsid w:val="007E0674"/>
    <w:rsid w:val="008179E4"/>
    <w:rsid w:val="0089470E"/>
    <w:rsid w:val="0089631B"/>
    <w:rsid w:val="009805D9"/>
    <w:rsid w:val="00A56086"/>
    <w:rsid w:val="00AA7276"/>
    <w:rsid w:val="00B256A1"/>
    <w:rsid w:val="00B45775"/>
    <w:rsid w:val="00B57F57"/>
    <w:rsid w:val="00B80154"/>
    <w:rsid w:val="00BE5A03"/>
    <w:rsid w:val="00C57EA8"/>
    <w:rsid w:val="00CB39C9"/>
    <w:rsid w:val="00D011A4"/>
    <w:rsid w:val="00DA2832"/>
    <w:rsid w:val="00E62B1E"/>
    <w:rsid w:val="00EC17C2"/>
    <w:rsid w:val="00F9172E"/>
    <w:rsid w:val="00F958A7"/>
    <w:rsid w:val="00FA3CF4"/>
    <w:rsid w:val="00FF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2A1757"/>
  <w15:chartTrackingRefBased/>
  <w15:docId w15:val="{AD14E5FC-98C1-1E4D-AC6B-83C03A702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A1DDF"/>
    <w:pPr>
      <w:keepNext/>
      <w:jc w:val="center"/>
      <w:outlineLvl w:val="0"/>
    </w:pPr>
    <w:rPr>
      <w:rFonts w:ascii="Times New Roman" w:eastAsia="Times New Roman" w:hAnsi="Times New Roman" w:cs="Times New Roman"/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7AE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7AEA"/>
  </w:style>
  <w:style w:type="paragraph" w:styleId="Footer">
    <w:name w:val="footer"/>
    <w:basedOn w:val="Normal"/>
    <w:link w:val="FooterChar"/>
    <w:uiPriority w:val="99"/>
    <w:unhideWhenUsed/>
    <w:rsid w:val="00697AE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7AEA"/>
  </w:style>
  <w:style w:type="character" w:styleId="PageNumber">
    <w:name w:val="page number"/>
    <w:basedOn w:val="DefaultParagraphFont"/>
    <w:uiPriority w:val="99"/>
    <w:semiHidden/>
    <w:unhideWhenUsed/>
    <w:rsid w:val="0089631B"/>
  </w:style>
  <w:style w:type="paragraph" w:styleId="NormalWeb">
    <w:name w:val="Normal (Web)"/>
    <w:basedOn w:val="Normal"/>
    <w:uiPriority w:val="99"/>
    <w:unhideWhenUsed/>
    <w:rsid w:val="00C57EA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2E42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42B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E42BC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5A1DDF"/>
    <w:rPr>
      <w:rFonts w:ascii="Times New Roman" w:eastAsia="Times New Roman" w:hAnsi="Times New Roman" w:cs="Times New Roman"/>
      <w:b/>
      <w:sz w:val="22"/>
      <w:szCs w:val="20"/>
    </w:rPr>
  </w:style>
  <w:style w:type="table" w:styleId="TableGrid">
    <w:name w:val="Table Grid"/>
    <w:basedOn w:val="TableNormal"/>
    <w:uiPriority w:val="39"/>
    <w:rsid w:val="001B2F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0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6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5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ternational-logistics-group.com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international-logistics-group.com/" TargetMode="External"/><Relationship Id="rId1" Type="http://schemas.openxmlformats.org/officeDocument/2006/relationships/hyperlink" Target="mailto:info@ilguk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66170-B48F-484E-BB5B-B06A88CDD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446</Words>
  <Characters>2698</Characters>
  <Application>Microsoft Office Word</Application>
  <DocSecurity>0</DocSecurity>
  <Lines>128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 Hawkins</dc:creator>
  <cp:keywords/>
  <dc:description/>
  <cp:lastModifiedBy>Emma Lucas</cp:lastModifiedBy>
  <cp:revision>5</cp:revision>
  <dcterms:created xsi:type="dcterms:W3CDTF">2026-04-30T09:22:00Z</dcterms:created>
  <dcterms:modified xsi:type="dcterms:W3CDTF">2026-05-14T13:34:00Z</dcterms:modified>
</cp:coreProperties>
</file>